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51ECCA" w14:textId="77777777" w:rsidR="009A0FF6" w:rsidRDefault="009A0FF6" w:rsidP="002F6CE5">
      <w:pPr>
        <w:ind w:left="2292" w:hanging="2292"/>
      </w:pPr>
      <w:bookmarkStart w:id="0" w:name="_Toc209500354"/>
      <w:bookmarkStart w:id="1" w:name="_Toc219275270"/>
      <w:bookmarkStart w:id="2" w:name="_Toc219275340"/>
      <w:bookmarkStart w:id="3" w:name="_Toc219518985"/>
    </w:p>
    <w:p w14:paraId="2D51ECCB" w14:textId="77777777" w:rsidR="008720EB" w:rsidRPr="00101839" w:rsidRDefault="00D24B3A" w:rsidP="002F6CE5">
      <w:pPr>
        <w:ind w:left="2292" w:hanging="2292"/>
        <w:rPr>
          <w:lang w:val="en-US"/>
        </w:rPr>
      </w:pPr>
      <w:r w:rsidRPr="00101839">
        <w:rPr>
          <w:lang w:val="en-US"/>
        </w:rPr>
        <w:t xml:space="preserve">SCORECARD </w:t>
      </w:r>
      <w:r w:rsidRPr="00101839">
        <w:rPr>
          <w:lang w:val="en-US"/>
        </w:rPr>
        <w:tab/>
        <w:t xml:space="preserve">World Food </w:t>
      </w:r>
      <w:proofErr w:type="spellStart"/>
      <w:r w:rsidRPr="00101839">
        <w:rPr>
          <w:lang w:val="en-US"/>
        </w:rPr>
        <w:t>Programme</w:t>
      </w:r>
      <w:proofErr w:type="spellEnd"/>
      <w:r w:rsidRPr="00101839">
        <w:rPr>
          <w:lang w:val="en-US"/>
        </w:rPr>
        <w:t xml:space="preserve"> (WFP)</w:t>
      </w:r>
    </w:p>
    <w:p w14:paraId="2D51ECCC" w14:textId="77777777" w:rsidR="008720EB" w:rsidRPr="00101839" w:rsidRDefault="008720EB" w:rsidP="002F6CE5">
      <w:pPr>
        <w:ind w:left="2292" w:hanging="2292"/>
        <w:rPr>
          <w:lang w:val="en-US"/>
        </w:rPr>
      </w:pPr>
    </w:p>
    <w:p w14:paraId="2D51ECCE" w14:textId="6BC0D12F" w:rsidR="002F6CE5" w:rsidRPr="00785F18" w:rsidRDefault="00223974" w:rsidP="004D1D28">
      <w:pPr>
        <w:ind w:left="2292" w:hanging="2292"/>
      </w:pPr>
      <w:r>
        <w:fldChar w:fldCharType="begin"/>
      </w:r>
      <w:r>
        <w:instrText xml:space="preserve"> DOCPROPERTY  L_CONTACT  \* MERGEFORMAT </w:instrText>
      </w:r>
      <w:r>
        <w:fldChar w:fldCharType="separate"/>
      </w:r>
      <w:r w:rsidR="00BA3472">
        <w:t>Opgesteld door</w:t>
      </w:r>
      <w:r>
        <w:fldChar w:fldCharType="end"/>
      </w:r>
      <w:r w:rsidR="002F6CE5" w:rsidRPr="00785F18">
        <w:tab/>
      </w:r>
      <w:r w:rsidR="003A65E8">
        <w:t xml:space="preserve">Directie </w:t>
      </w:r>
      <w:r w:rsidR="00460E7F">
        <w:t>Multilaterale Instellingen en Mensenrechten</w:t>
      </w:r>
      <w:r w:rsidR="002F6CE5" w:rsidRPr="00785F18">
        <w:br/>
      </w:r>
    </w:p>
    <w:tbl>
      <w:tblPr>
        <w:tblW w:w="0" w:type="auto"/>
        <w:tblInd w:w="-142" w:type="dxa"/>
        <w:tblLook w:val="01E0" w:firstRow="1" w:lastRow="1" w:firstColumn="1" w:lastColumn="1" w:noHBand="0" w:noVBand="0"/>
      </w:tblPr>
      <w:tblGrid>
        <w:gridCol w:w="2383"/>
        <w:gridCol w:w="5485"/>
      </w:tblGrid>
      <w:tr w:rsidR="002F6CE5" w:rsidRPr="00785F18" w14:paraId="2D51ECD3" w14:textId="77777777" w:rsidTr="00DB3551">
        <w:tc>
          <w:tcPr>
            <w:tcW w:w="2383" w:type="dxa"/>
            <w:shd w:val="clear" w:color="auto" w:fill="auto"/>
          </w:tcPr>
          <w:p w14:paraId="2D51ECD0" w14:textId="0298748A" w:rsidR="002F6CE5" w:rsidRPr="00785F18" w:rsidRDefault="009164C9" w:rsidP="004D1D28">
            <w:r>
              <w:fldChar w:fldCharType="begin"/>
            </w:r>
            <w:r w:rsidR="00793DE8">
              <w:instrText xml:space="preserve"> DOCPROPERTY  L_AUTHOR  \* MERGEFORMAT </w:instrText>
            </w:r>
            <w:r>
              <w:fldChar w:fldCharType="separate"/>
            </w:r>
            <w:r w:rsidR="00BA3472">
              <w:t>Redacteur:</w:t>
            </w:r>
            <w:r>
              <w:fldChar w:fldCharType="end"/>
            </w:r>
          </w:p>
        </w:tc>
        <w:tc>
          <w:tcPr>
            <w:tcW w:w="5485" w:type="dxa"/>
            <w:shd w:val="clear" w:color="auto" w:fill="auto"/>
          </w:tcPr>
          <w:p w14:paraId="2D51ECD1" w14:textId="77777777" w:rsidR="002F6CE5" w:rsidRDefault="00101839" w:rsidP="00221806">
            <w:r>
              <w:t>Mario Leeflang</w:t>
            </w:r>
          </w:p>
          <w:p w14:paraId="2D51ECD2" w14:textId="77777777" w:rsidR="002F6CE5" w:rsidRPr="00785F18" w:rsidRDefault="00101839" w:rsidP="00101839">
            <w:r>
              <w:t>A</w:t>
            </w:r>
            <w:r w:rsidR="00326699">
              <w:t>fgestemd met</w:t>
            </w:r>
            <w:r>
              <w:t xml:space="preserve"> PV Rome, DSH en IGG</w:t>
            </w:r>
          </w:p>
        </w:tc>
      </w:tr>
    </w:tbl>
    <w:p w14:paraId="2D51ECD4" w14:textId="77777777" w:rsidR="00991C2E" w:rsidRDefault="00991C2E" w:rsidP="00991C2E"/>
    <w:p w14:paraId="2D51ECD5" w14:textId="77777777" w:rsidR="00326699" w:rsidRDefault="00326699" w:rsidP="00326699">
      <w:pPr>
        <w:spacing w:line="240" w:lineRule="auto"/>
        <w:sectPr w:rsidR="00326699" w:rsidSect="007D6565">
          <w:headerReference w:type="even" r:id="rId11"/>
          <w:headerReference w:type="default" r:id="rId12"/>
          <w:footerReference w:type="even" r:id="rId13"/>
          <w:footerReference w:type="default" r:id="rId14"/>
          <w:headerReference w:type="first" r:id="rId15"/>
          <w:footerReference w:type="first" r:id="rId16"/>
          <w:pgSz w:w="11906" w:h="16838" w:code="9"/>
          <w:pgMar w:top="2520" w:right="960" w:bottom="1080" w:left="3220" w:header="200" w:footer="660" w:gutter="0"/>
          <w:cols w:space="708"/>
          <w:titlePg/>
          <w:docGrid w:linePitch="360"/>
        </w:sectPr>
      </w:pPr>
    </w:p>
    <w:bookmarkEnd w:id="0"/>
    <w:bookmarkEnd w:id="1"/>
    <w:bookmarkEnd w:id="2"/>
    <w:bookmarkEnd w:id="3"/>
    <w:p w14:paraId="2D51ECD6" w14:textId="77777777" w:rsidR="00A908F9" w:rsidRDefault="00A908F9" w:rsidP="00A908F9">
      <w:pPr>
        <w:pStyle w:val="Kop-Inhoudsopgave"/>
      </w:pPr>
    </w:p>
    <w:p w14:paraId="2D51ECD7" w14:textId="77777777" w:rsidR="00A908F9" w:rsidRDefault="00A908F9" w:rsidP="00A908F9">
      <w:pPr>
        <w:pStyle w:val="Kop-Inhoudsopgave"/>
      </w:pPr>
    </w:p>
    <w:p w14:paraId="2D51ECD8" w14:textId="77777777" w:rsidR="00A908F9" w:rsidRDefault="008720EB" w:rsidP="00A908F9">
      <w:pPr>
        <w:pStyle w:val="Kop-Inhoudsopgave"/>
      </w:pPr>
      <w:r>
        <w:br w:type="page"/>
      </w:r>
      <w:r w:rsidR="00223974">
        <w:lastRenderedPageBreak/>
        <w:fldChar w:fldCharType="begin"/>
      </w:r>
      <w:r w:rsidR="00223974">
        <w:instrText xml:space="preserve"> DOCPROPERTY  L_TOC  \* MERGEFORMAT </w:instrText>
      </w:r>
      <w:r w:rsidR="00223974">
        <w:fldChar w:fldCharType="separate"/>
      </w:r>
      <w:bookmarkStart w:id="7" w:name="_Toc491260340"/>
      <w:bookmarkStart w:id="8" w:name="_Toc287446465"/>
      <w:bookmarkStart w:id="9" w:name="_Toc287454445"/>
      <w:r w:rsidR="00BA3472">
        <w:t>Inhoudsopgave</w:t>
      </w:r>
      <w:bookmarkEnd w:id="7"/>
      <w:bookmarkEnd w:id="8"/>
      <w:bookmarkEnd w:id="9"/>
      <w:r w:rsidR="00223974">
        <w:fldChar w:fldCharType="end"/>
      </w:r>
    </w:p>
    <w:p w14:paraId="49421EFD" w14:textId="35D60354" w:rsidR="005D46F6" w:rsidRDefault="009164C9">
      <w:pPr>
        <w:pStyle w:val="TOC1"/>
        <w:tabs>
          <w:tab w:val="right" w:leader="dot" w:pos="7717"/>
        </w:tabs>
        <w:rPr>
          <w:rFonts w:asciiTheme="minorHAnsi" w:eastAsiaTheme="minorEastAsia" w:hAnsiTheme="minorHAnsi" w:cstheme="minorBidi"/>
          <w:noProof/>
          <w:sz w:val="22"/>
          <w:szCs w:val="22"/>
        </w:rPr>
      </w:pPr>
      <w:r w:rsidRPr="00785F18">
        <w:fldChar w:fldCharType="begin"/>
      </w:r>
      <w:r w:rsidR="006B2292" w:rsidRPr="00785F18">
        <w:instrText xml:space="preserve"> TOC \t "Heading 1;2;Heading 2;3;Heading 3;4;Kop-Inhoudsopgave;1;Kop zonder nummering;1;Subtitle;2;Title;1" </w:instrText>
      </w:r>
      <w:r w:rsidRPr="00785F18">
        <w:fldChar w:fldCharType="separate"/>
      </w:r>
      <w:r w:rsidR="005D46F6">
        <w:rPr>
          <w:noProof/>
        </w:rPr>
        <w:t>Inhoudsopgave</w:t>
      </w:r>
      <w:r w:rsidR="005D46F6">
        <w:rPr>
          <w:noProof/>
        </w:rPr>
        <w:tab/>
      </w:r>
      <w:r w:rsidR="005D46F6">
        <w:rPr>
          <w:noProof/>
        </w:rPr>
        <w:fldChar w:fldCharType="begin"/>
      </w:r>
      <w:r w:rsidR="005D46F6">
        <w:rPr>
          <w:noProof/>
        </w:rPr>
        <w:instrText xml:space="preserve"> PAGEREF _Toc491260340 \h </w:instrText>
      </w:r>
      <w:r w:rsidR="005D46F6">
        <w:rPr>
          <w:noProof/>
        </w:rPr>
      </w:r>
      <w:r w:rsidR="005D46F6">
        <w:rPr>
          <w:noProof/>
        </w:rPr>
        <w:fldChar w:fldCharType="separate"/>
      </w:r>
      <w:r w:rsidR="005D46F6">
        <w:rPr>
          <w:noProof/>
        </w:rPr>
        <w:t>2</w:t>
      </w:r>
      <w:r w:rsidR="005D46F6">
        <w:rPr>
          <w:noProof/>
        </w:rPr>
        <w:fldChar w:fldCharType="end"/>
      </w:r>
    </w:p>
    <w:p w14:paraId="08ABB140" w14:textId="26CFC389" w:rsidR="005D46F6" w:rsidRDefault="005D46F6">
      <w:pPr>
        <w:pStyle w:val="TOC2"/>
        <w:rPr>
          <w:rFonts w:asciiTheme="minorHAnsi" w:eastAsiaTheme="minorEastAsia" w:hAnsiTheme="minorHAnsi" w:cstheme="minorBidi"/>
          <w:b w:val="0"/>
          <w:sz w:val="22"/>
          <w:szCs w:val="22"/>
        </w:rPr>
      </w:pPr>
      <w:r>
        <w:t>1</w:t>
      </w:r>
      <w:r>
        <w:rPr>
          <w:rFonts w:asciiTheme="minorHAnsi" w:eastAsiaTheme="minorEastAsia" w:hAnsiTheme="minorHAnsi" w:cstheme="minorBidi"/>
          <w:b w:val="0"/>
          <w:sz w:val="22"/>
          <w:szCs w:val="22"/>
        </w:rPr>
        <w:tab/>
      </w:r>
      <w:r>
        <w:t>Samenvatting</w:t>
      </w:r>
      <w:r>
        <w:tab/>
      </w:r>
      <w:r>
        <w:fldChar w:fldCharType="begin"/>
      </w:r>
      <w:r>
        <w:instrText xml:space="preserve"> PAGEREF _Toc491260341 \h </w:instrText>
      </w:r>
      <w:r>
        <w:fldChar w:fldCharType="separate"/>
      </w:r>
      <w:r>
        <w:t>3</w:t>
      </w:r>
      <w:r>
        <w:fldChar w:fldCharType="end"/>
      </w:r>
    </w:p>
    <w:p w14:paraId="3DBB867E" w14:textId="711D6466" w:rsidR="005D46F6" w:rsidRDefault="005D46F6">
      <w:pPr>
        <w:pStyle w:val="TOC3"/>
        <w:rPr>
          <w:rFonts w:asciiTheme="minorHAnsi" w:eastAsiaTheme="minorEastAsia" w:hAnsiTheme="minorHAnsi" w:cstheme="minorBidi"/>
          <w:sz w:val="22"/>
          <w:szCs w:val="22"/>
        </w:rPr>
      </w:pPr>
      <w:r>
        <w:t xml:space="preserve">1.1 </w:t>
      </w:r>
      <w:r>
        <w:rPr>
          <w:rFonts w:asciiTheme="minorHAnsi" w:eastAsiaTheme="minorEastAsia" w:hAnsiTheme="minorHAnsi" w:cstheme="minorBidi"/>
          <w:sz w:val="22"/>
          <w:szCs w:val="22"/>
        </w:rPr>
        <w:tab/>
      </w:r>
      <w:r>
        <w:t>Institutionele aspecten en functioneren</w:t>
      </w:r>
      <w:r>
        <w:tab/>
      </w:r>
      <w:r>
        <w:fldChar w:fldCharType="begin"/>
      </w:r>
      <w:r>
        <w:instrText xml:space="preserve"> PAGEREF _Toc491260342 \h </w:instrText>
      </w:r>
      <w:r>
        <w:fldChar w:fldCharType="separate"/>
      </w:r>
      <w:r>
        <w:t>3</w:t>
      </w:r>
      <w:r>
        <w:fldChar w:fldCharType="end"/>
      </w:r>
    </w:p>
    <w:p w14:paraId="5E2369FC" w14:textId="4A5E67BF" w:rsidR="005D46F6" w:rsidRDefault="005D46F6">
      <w:pPr>
        <w:pStyle w:val="TOC3"/>
        <w:rPr>
          <w:rFonts w:asciiTheme="minorHAnsi" w:eastAsiaTheme="minorEastAsia" w:hAnsiTheme="minorHAnsi" w:cstheme="minorBidi"/>
          <w:sz w:val="22"/>
          <w:szCs w:val="22"/>
        </w:rPr>
      </w:pPr>
      <w:r>
        <w:t xml:space="preserve">1.2 </w:t>
      </w:r>
      <w:r>
        <w:rPr>
          <w:rFonts w:asciiTheme="minorHAnsi" w:eastAsiaTheme="minorEastAsia" w:hAnsiTheme="minorHAnsi" w:cstheme="minorBidi"/>
          <w:sz w:val="22"/>
          <w:szCs w:val="22"/>
        </w:rPr>
        <w:tab/>
      </w:r>
      <w:r>
        <w:t>Beleidsrelevantie voor de Nederlandse BHOS-prioriteiten</w:t>
      </w:r>
      <w:r>
        <w:tab/>
      </w:r>
      <w:r>
        <w:fldChar w:fldCharType="begin"/>
      </w:r>
      <w:r>
        <w:instrText xml:space="preserve"> PAGEREF _Toc491260343 \h </w:instrText>
      </w:r>
      <w:r>
        <w:fldChar w:fldCharType="separate"/>
      </w:r>
      <w:r>
        <w:t>3</w:t>
      </w:r>
      <w:r>
        <w:fldChar w:fldCharType="end"/>
      </w:r>
    </w:p>
    <w:p w14:paraId="0FA5DD10" w14:textId="55D52C52" w:rsidR="005D46F6" w:rsidRDefault="005D46F6">
      <w:pPr>
        <w:pStyle w:val="TOC2"/>
        <w:rPr>
          <w:rFonts w:asciiTheme="minorHAnsi" w:eastAsiaTheme="minorEastAsia" w:hAnsiTheme="minorHAnsi" w:cstheme="minorBidi"/>
          <w:b w:val="0"/>
          <w:sz w:val="22"/>
          <w:szCs w:val="22"/>
        </w:rPr>
      </w:pPr>
      <w:r>
        <w:t xml:space="preserve">2 </w:t>
      </w:r>
      <w:r>
        <w:rPr>
          <w:rFonts w:asciiTheme="minorHAnsi" w:eastAsiaTheme="minorEastAsia" w:hAnsiTheme="minorHAnsi" w:cstheme="minorBidi"/>
          <w:b w:val="0"/>
          <w:sz w:val="22"/>
          <w:szCs w:val="22"/>
        </w:rPr>
        <w:tab/>
      </w:r>
      <w:r>
        <w:t>Inleiding</w:t>
      </w:r>
      <w:r>
        <w:tab/>
      </w:r>
      <w:r>
        <w:fldChar w:fldCharType="begin"/>
      </w:r>
      <w:r>
        <w:instrText xml:space="preserve"> PAGEREF _Toc491260344 \h </w:instrText>
      </w:r>
      <w:r>
        <w:fldChar w:fldCharType="separate"/>
      </w:r>
      <w:r>
        <w:t>4</w:t>
      </w:r>
      <w:r>
        <w:fldChar w:fldCharType="end"/>
      </w:r>
    </w:p>
    <w:p w14:paraId="691E7398" w14:textId="7EAB2DD9" w:rsidR="005D46F6" w:rsidRDefault="005D46F6">
      <w:pPr>
        <w:pStyle w:val="TOC2"/>
        <w:rPr>
          <w:rFonts w:asciiTheme="minorHAnsi" w:eastAsiaTheme="minorEastAsia" w:hAnsiTheme="minorHAnsi" w:cstheme="minorBidi"/>
          <w:b w:val="0"/>
          <w:sz w:val="22"/>
          <w:szCs w:val="22"/>
        </w:rPr>
      </w:pPr>
      <w:r>
        <w:t>3</w:t>
      </w:r>
      <w:r>
        <w:rPr>
          <w:rFonts w:asciiTheme="minorHAnsi" w:eastAsiaTheme="minorEastAsia" w:hAnsiTheme="minorHAnsi" w:cstheme="minorBidi"/>
          <w:b w:val="0"/>
          <w:sz w:val="22"/>
          <w:szCs w:val="22"/>
        </w:rPr>
        <w:tab/>
      </w:r>
      <w:r>
        <w:t>Algemene achtergrond</w:t>
      </w:r>
      <w:r>
        <w:tab/>
      </w:r>
      <w:r>
        <w:fldChar w:fldCharType="begin"/>
      </w:r>
      <w:r>
        <w:instrText xml:space="preserve"> PAGEREF _Toc491260345 \h </w:instrText>
      </w:r>
      <w:r>
        <w:fldChar w:fldCharType="separate"/>
      </w:r>
      <w:r>
        <w:t>5</w:t>
      </w:r>
      <w:r>
        <w:fldChar w:fldCharType="end"/>
      </w:r>
    </w:p>
    <w:p w14:paraId="504584AE" w14:textId="44F9FA25" w:rsidR="005D46F6" w:rsidRDefault="005D46F6">
      <w:pPr>
        <w:pStyle w:val="TOC3"/>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Doelstelling en toegevoegde waarde</w:t>
      </w:r>
      <w:r>
        <w:tab/>
      </w:r>
      <w:r>
        <w:fldChar w:fldCharType="begin"/>
      </w:r>
      <w:r>
        <w:instrText xml:space="preserve"> PAGEREF _Toc491260346 \h </w:instrText>
      </w:r>
      <w:r>
        <w:fldChar w:fldCharType="separate"/>
      </w:r>
      <w:r>
        <w:t>5</w:t>
      </w:r>
      <w:r>
        <w:fldChar w:fldCharType="end"/>
      </w:r>
    </w:p>
    <w:p w14:paraId="15FFE7B9" w14:textId="61333F5D" w:rsidR="005D46F6" w:rsidRDefault="005D46F6">
      <w:pPr>
        <w:pStyle w:val="TOC3"/>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Organisatie, werkwijze en activiteiten</w:t>
      </w:r>
      <w:r>
        <w:tab/>
      </w:r>
      <w:r>
        <w:fldChar w:fldCharType="begin"/>
      </w:r>
      <w:r>
        <w:instrText xml:space="preserve"> PAGEREF _Toc491260347 \h </w:instrText>
      </w:r>
      <w:r>
        <w:fldChar w:fldCharType="separate"/>
      </w:r>
      <w:r>
        <w:t>5</w:t>
      </w:r>
      <w:r>
        <w:fldChar w:fldCharType="end"/>
      </w:r>
    </w:p>
    <w:p w14:paraId="156955E3" w14:textId="645B204E" w:rsidR="005D46F6" w:rsidRDefault="005D46F6">
      <w:pPr>
        <w:pStyle w:val="TOC3"/>
        <w:rPr>
          <w:rFonts w:asciiTheme="minorHAnsi" w:eastAsiaTheme="minorEastAsia" w:hAnsiTheme="minorHAnsi" w:cstheme="minorBidi"/>
          <w:sz w:val="22"/>
          <w:szCs w:val="22"/>
        </w:rPr>
      </w:pPr>
      <w:r>
        <w:t xml:space="preserve">3.3 </w:t>
      </w:r>
      <w:r>
        <w:rPr>
          <w:rFonts w:asciiTheme="minorHAnsi" w:eastAsiaTheme="minorEastAsia" w:hAnsiTheme="minorHAnsi" w:cstheme="minorBidi"/>
          <w:sz w:val="22"/>
          <w:szCs w:val="22"/>
        </w:rPr>
        <w:tab/>
      </w:r>
      <w:r>
        <w:t>Nederlandse rol en invloed</w:t>
      </w:r>
      <w:r>
        <w:tab/>
      </w:r>
      <w:r>
        <w:fldChar w:fldCharType="begin"/>
      </w:r>
      <w:r>
        <w:instrText xml:space="preserve"> PAGEREF _Toc491260348 \h </w:instrText>
      </w:r>
      <w:r>
        <w:fldChar w:fldCharType="separate"/>
      </w:r>
      <w:r>
        <w:t>6</w:t>
      </w:r>
      <w:r>
        <w:fldChar w:fldCharType="end"/>
      </w:r>
    </w:p>
    <w:p w14:paraId="0510A95B" w14:textId="4463C729" w:rsidR="005D46F6" w:rsidRDefault="005D46F6">
      <w:pPr>
        <w:pStyle w:val="TOC3"/>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Financiële omvang en bijdragen</w:t>
      </w:r>
      <w:r>
        <w:tab/>
      </w:r>
      <w:r>
        <w:fldChar w:fldCharType="begin"/>
      </w:r>
      <w:r>
        <w:instrText xml:space="preserve"> PAGEREF _Toc491260349 \h </w:instrText>
      </w:r>
      <w:r>
        <w:fldChar w:fldCharType="separate"/>
      </w:r>
      <w:r>
        <w:t>6</w:t>
      </w:r>
      <w:r>
        <w:fldChar w:fldCharType="end"/>
      </w:r>
    </w:p>
    <w:p w14:paraId="6B3DAAE6" w14:textId="652D7421" w:rsidR="005D46F6" w:rsidRDefault="005D46F6">
      <w:pPr>
        <w:pStyle w:val="TOC2"/>
        <w:rPr>
          <w:rFonts w:asciiTheme="minorHAnsi" w:eastAsiaTheme="minorEastAsia" w:hAnsiTheme="minorHAnsi" w:cstheme="minorBidi"/>
          <w:b w:val="0"/>
          <w:sz w:val="22"/>
          <w:szCs w:val="22"/>
        </w:rPr>
      </w:pPr>
      <w:r>
        <w:t xml:space="preserve">4 </w:t>
      </w:r>
      <w:r>
        <w:rPr>
          <w:rFonts w:asciiTheme="minorHAnsi" w:eastAsiaTheme="minorEastAsia" w:hAnsiTheme="minorHAnsi" w:cstheme="minorBidi"/>
          <w:b w:val="0"/>
          <w:sz w:val="22"/>
          <w:szCs w:val="22"/>
        </w:rPr>
        <w:tab/>
      </w:r>
      <w:r>
        <w:t>Institutionele aspecten en functioneren van de organisatie</w:t>
      </w:r>
      <w:r>
        <w:tab/>
      </w:r>
      <w:r>
        <w:fldChar w:fldCharType="begin"/>
      </w:r>
      <w:r>
        <w:instrText xml:space="preserve"> PAGEREF _Toc491260350 \h </w:instrText>
      </w:r>
      <w:r>
        <w:fldChar w:fldCharType="separate"/>
      </w:r>
      <w:r>
        <w:t>9</w:t>
      </w:r>
      <w:r>
        <w:fldChar w:fldCharType="end"/>
      </w:r>
    </w:p>
    <w:p w14:paraId="37D22527" w14:textId="71EE8A7D" w:rsidR="005D46F6" w:rsidRDefault="005D46F6">
      <w:pPr>
        <w:pStyle w:val="TOC3"/>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Strategie en verantwoording</w:t>
      </w:r>
      <w:r>
        <w:tab/>
      </w:r>
      <w:r>
        <w:fldChar w:fldCharType="begin"/>
      </w:r>
      <w:r>
        <w:instrText xml:space="preserve"> PAGEREF _Toc491260351 \h </w:instrText>
      </w:r>
      <w:r>
        <w:fldChar w:fldCharType="separate"/>
      </w:r>
      <w:r>
        <w:t>9</w:t>
      </w:r>
      <w:r>
        <w:fldChar w:fldCharType="end"/>
      </w:r>
    </w:p>
    <w:p w14:paraId="13E81CB7" w14:textId="1768659E" w:rsidR="005D46F6" w:rsidRDefault="005D46F6">
      <w:pPr>
        <w:pStyle w:val="TOC3"/>
        <w:rPr>
          <w:rFonts w:asciiTheme="minorHAnsi" w:eastAsiaTheme="minorEastAsia" w:hAnsiTheme="minorHAnsi" w:cstheme="minorBidi"/>
          <w:sz w:val="22"/>
          <w:szCs w:val="22"/>
        </w:rPr>
      </w:pPr>
      <w:r w:rsidRPr="00D07E60">
        <w:t>4.2</w:t>
      </w:r>
      <w:r>
        <w:rPr>
          <w:rFonts w:asciiTheme="minorHAnsi" w:eastAsiaTheme="minorEastAsia" w:hAnsiTheme="minorHAnsi" w:cstheme="minorBidi"/>
          <w:sz w:val="22"/>
          <w:szCs w:val="22"/>
        </w:rPr>
        <w:tab/>
      </w:r>
      <w:r w:rsidRPr="00D07E60">
        <w:t>Resultaatgerichtheid en transparantie</w:t>
      </w:r>
      <w:r>
        <w:tab/>
      </w:r>
      <w:r>
        <w:fldChar w:fldCharType="begin"/>
      </w:r>
      <w:r>
        <w:instrText xml:space="preserve"> PAGEREF _Toc491260352 \h </w:instrText>
      </w:r>
      <w:r>
        <w:fldChar w:fldCharType="separate"/>
      </w:r>
      <w:r>
        <w:t>10</w:t>
      </w:r>
      <w:r>
        <w:fldChar w:fldCharType="end"/>
      </w:r>
    </w:p>
    <w:p w14:paraId="4AA26043" w14:textId="2D59D76B" w:rsidR="005D46F6" w:rsidRDefault="005D46F6">
      <w:pPr>
        <w:pStyle w:val="TOC3"/>
        <w:rPr>
          <w:rFonts w:asciiTheme="minorHAnsi" w:eastAsiaTheme="minorEastAsia" w:hAnsiTheme="minorHAnsi" w:cstheme="minorBidi"/>
          <w:sz w:val="22"/>
          <w:szCs w:val="22"/>
        </w:rPr>
      </w:pPr>
      <w:r w:rsidRPr="00D07E60">
        <w:t>4.3</w:t>
      </w:r>
      <w:r>
        <w:rPr>
          <w:rFonts w:asciiTheme="minorHAnsi" w:eastAsiaTheme="minorEastAsia" w:hAnsiTheme="minorHAnsi" w:cstheme="minorBidi"/>
          <w:sz w:val="22"/>
          <w:szCs w:val="22"/>
        </w:rPr>
        <w:tab/>
      </w:r>
      <w:r>
        <w:t>Partnerschappen en samenwerking</w:t>
      </w:r>
      <w:r>
        <w:tab/>
      </w:r>
      <w:r>
        <w:fldChar w:fldCharType="begin"/>
      </w:r>
      <w:r>
        <w:instrText xml:space="preserve"> PAGEREF _Toc491260353 \h </w:instrText>
      </w:r>
      <w:r>
        <w:fldChar w:fldCharType="separate"/>
      </w:r>
      <w:r>
        <w:t>11</w:t>
      </w:r>
      <w:r>
        <w:fldChar w:fldCharType="end"/>
      </w:r>
    </w:p>
    <w:p w14:paraId="5253C4A1" w14:textId="4F1E1200" w:rsidR="005D46F6" w:rsidRDefault="005D46F6">
      <w:pPr>
        <w:pStyle w:val="TOC3"/>
        <w:rPr>
          <w:rFonts w:asciiTheme="minorHAnsi" w:eastAsiaTheme="minorEastAsia" w:hAnsiTheme="minorHAnsi" w:cstheme="minorBidi"/>
          <w:sz w:val="22"/>
          <w:szCs w:val="22"/>
        </w:rPr>
      </w:pPr>
      <w:r>
        <w:t xml:space="preserve">4.4 </w:t>
      </w:r>
      <w:r>
        <w:rPr>
          <w:rFonts w:asciiTheme="minorHAnsi" w:eastAsiaTheme="minorEastAsia" w:hAnsiTheme="minorHAnsi" w:cstheme="minorBidi"/>
          <w:sz w:val="22"/>
          <w:szCs w:val="22"/>
        </w:rPr>
        <w:tab/>
      </w:r>
      <w:r>
        <w:t>Operationeel management</w:t>
      </w:r>
      <w:r>
        <w:tab/>
      </w:r>
      <w:r>
        <w:fldChar w:fldCharType="begin"/>
      </w:r>
      <w:r>
        <w:instrText xml:space="preserve"> PAGEREF _Toc491260354 \h </w:instrText>
      </w:r>
      <w:r>
        <w:fldChar w:fldCharType="separate"/>
      </w:r>
      <w:r>
        <w:t>12</w:t>
      </w:r>
      <w:r>
        <w:fldChar w:fldCharType="end"/>
      </w:r>
    </w:p>
    <w:p w14:paraId="72AB299B" w14:textId="626BDED1" w:rsidR="005D46F6" w:rsidRDefault="005D46F6">
      <w:pPr>
        <w:pStyle w:val="TOC3"/>
        <w:rPr>
          <w:rFonts w:asciiTheme="minorHAnsi" w:eastAsiaTheme="minorEastAsia" w:hAnsiTheme="minorHAnsi" w:cstheme="minorBidi"/>
          <w:sz w:val="22"/>
          <w:szCs w:val="22"/>
        </w:rPr>
      </w:pPr>
      <w:r>
        <w:t>4.5</w:t>
      </w:r>
      <w:r>
        <w:rPr>
          <w:rFonts w:asciiTheme="minorHAnsi" w:eastAsiaTheme="minorEastAsia" w:hAnsiTheme="minorHAnsi" w:cstheme="minorBidi"/>
          <w:sz w:val="22"/>
          <w:szCs w:val="22"/>
        </w:rPr>
        <w:tab/>
      </w:r>
      <w:r>
        <w:t>Beleidsevaluatie</w:t>
      </w:r>
      <w:r>
        <w:tab/>
      </w:r>
      <w:r>
        <w:fldChar w:fldCharType="begin"/>
      </w:r>
      <w:r>
        <w:instrText xml:space="preserve"> PAGEREF _Toc491260355 \h </w:instrText>
      </w:r>
      <w:r>
        <w:fldChar w:fldCharType="separate"/>
      </w:r>
      <w:r>
        <w:t>13</w:t>
      </w:r>
      <w:r>
        <w:fldChar w:fldCharType="end"/>
      </w:r>
    </w:p>
    <w:p w14:paraId="2B680656" w14:textId="2B624659" w:rsidR="005D46F6" w:rsidRDefault="005D46F6">
      <w:pPr>
        <w:pStyle w:val="TOC3"/>
        <w:rPr>
          <w:rFonts w:asciiTheme="minorHAnsi" w:eastAsiaTheme="minorEastAsia" w:hAnsiTheme="minorHAnsi" w:cstheme="minorBidi"/>
          <w:sz w:val="22"/>
          <w:szCs w:val="22"/>
        </w:rPr>
      </w:pPr>
      <w:r>
        <w:t>4.6</w:t>
      </w:r>
      <w:r>
        <w:rPr>
          <w:rFonts w:asciiTheme="minorHAnsi" w:eastAsiaTheme="minorEastAsia" w:hAnsiTheme="minorHAnsi" w:cstheme="minorBidi"/>
          <w:sz w:val="22"/>
          <w:szCs w:val="22"/>
        </w:rPr>
        <w:tab/>
      </w:r>
      <w:r>
        <w:t>Human Resource Management</w:t>
      </w:r>
      <w:r>
        <w:tab/>
      </w:r>
      <w:r>
        <w:fldChar w:fldCharType="begin"/>
      </w:r>
      <w:r>
        <w:instrText xml:space="preserve"> PAGEREF _Toc491260356 \h </w:instrText>
      </w:r>
      <w:r>
        <w:fldChar w:fldCharType="separate"/>
      </w:r>
      <w:r>
        <w:t>14</w:t>
      </w:r>
      <w:r>
        <w:fldChar w:fldCharType="end"/>
      </w:r>
    </w:p>
    <w:p w14:paraId="50C7E1CA" w14:textId="6FD7F143" w:rsidR="005D46F6" w:rsidRDefault="005D46F6">
      <w:pPr>
        <w:pStyle w:val="TOC3"/>
        <w:rPr>
          <w:rFonts w:asciiTheme="minorHAnsi" w:eastAsiaTheme="minorEastAsia" w:hAnsiTheme="minorHAnsi" w:cstheme="minorBidi"/>
          <w:sz w:val="22"/>
          <w:szCs w:val="22"/>
        </w:rPr>
      </w:pPr>
      <w:r>
        <w:t xml:space="preserve">4.7 </w:t>
      </w:r>
      <w:r>
        <w:rPr>
          <w:rFonts w:asciiTheme="minorHAnsi" w:eastAsiaTheme="minorEastAsia" w:hAnsiTheme="minorHAnsi" w:cstheme="minorBidi"/>
          <w:sz w:val="22"/>
          <w:szCs w:val="22"/>
        </w:rPr>
        <w:tab/>
      </w:r>
      <w:r>
        <w:t>Financiële stabiliteit</w:t>
      </w:r>
      <w:r>
        <w:tab/>
      </w:r>
      <w:r>
        <w:fldChar w:fldCharType="begin"/>
      </w:r>
      <w:r>
        <w:instrText xml:space="preserve"> PAGEREF _Toc491260357 \h </w:instrText>
      </w:r>
      <w:r>
        <w:fldChar w:fldCharType="separate"/>
      </w:r>
      <w:r>
        <w:t>14</w:t>
      </w:r>
      <w:r>
        <w:fldChar w:fldCharType="end"/>
      </w:r>
    </w:p>
    <w:p w14:paraId="1F2DE657" w14:textId="4C8F61ED" w:rsidR="005D46F6" w:rsidRDefault="005D46F6">
      <w:pPr>
        <w:pStyle w:val="TOC3"/>
        <w:rPr>
          <w:rFonts w:asciiTheme="minorHAnsi" w:eastAsiaTheme="minorEastAsia" w:hAnsiTheme="minorHAnsi" w:cstheme="minorBidi"/>
          <w:sz w:val="22"/>
          <w:szCs w:val="22"/>
        </w:rPr>
      </w:pPr>
      <w:r>
        <w:t xml:space="preserve">4.8 </w:t>
      </w:r>
      <w:r>
        <w:rPr>
          <w:rFonts w:asciiTheme="minorHAnsi" w:eastAsiaTheme="minorEastAsia" w:hAnsiTheme="minorHAnsi" w:cstheme="minorBidi"/>
          <w:sz w:val="22"/>
          <w:szCs w:val="22"/>
        </w:rPr>
        <w:tab/>
      </w:r>
      <w:r>
        <w:t>Kostenreductie</w:t>
      </w:r>
      <w:r>
        <w:tab/>
      </w:r>
      <w:r>
        <w:fldChar w:fldCharType="begin"/>
      </w:r>
      <w:r>
        <w:instrText xml:space="preserve"> PAGEREF _Toc491260358 \h </w:instrText>
      </w:r>
      <w:r>
        <w:fldChar w:fldCharType="separate"/>
      </w:r>
      <w:r>
        <w:t>16</w:t>
      </w:r>
      <w:r>
        <w:fldChar w:fldCharType="end"/>
      </w:r>
    </w:p>
    <w:p w14:paraId="3EEA56EC" w14:textId="3798FCEF" w:rsidR="005D46F6" w:rsidRDefault="005D46F6">
      <w:pPr>
        <w:pStyle w:val="TOC3"/>
        <w:rPr>
          <w:rFonts w:asciiTheme="minorHAnsi" w:eastAsiaTheme="minorEastAsia" w:hAnsiTheme="minorHAnsi" w:cstheme="minorBidi"/>
          <w:sz w:val="22"/>
          <w:szCs w:val="22"/>
        </w:rPr>
      </w:pPr>
      <w:r>
        <w:t xml:space="preserve">4.9 </w:t>
      </w:r>
      <w:r>
        <w:rPr>
          <w:rFonts w:asciiTheme="minorHAnsi" w:eastAsiaTheme="minorEastAsia" w:hAnsiTheme="minorHAnsi" w:cstheme="minorBidi"/>
          <w:sz w:val="22"/>
          <w:szCs w:val="22"/>
        </w:rPr>
        <w:tab/>
      </w:r>
      <w:r>
        <w:t>Corruptiebestrijding</w:t>
      </w:r>
      <w:r>
        <w:tab/>
      </w:r>
      <w:r>
        <w:fldChar w:fldCharType="begin"/>
      </w:r>
      <w:r>
        <w:instrText xml:space="preserve"> PAGEREF _Toc491260359 \h </w:instrText>
      </w:r>
      <w:r>
        <w:fldChar w:fldCharType="separate"/>
      </w:r>
      <w:r>
        <w:t>16</w:t>
      </w:r>
      <w:r>
        <w:fldChar w:fldCharType="end"/>
      </w:r>
    </w:p>
    <w:p w14:paraId="3F1561DE" w14:textId="402F0F52" w:rsidR="005D46F6" w:rsidRDefault="005D46F6">
      <w:pPr>
        <w:pStyle w:val="TOC2"/>
        <w:rPr>
          <w:rFonts w:asciiTheme="minorHAnsi" w:eastAsiaTheme="minorEastAsia" w:hAnsiTheme="minorHAnsi" w:cstheme="minorBidi"/>
          <w:b w:val="0"/>
          <w:sz w:val="22"/>
          <w:szCs w:val="22"/>
        </w:rPr>
      </w:pPr>
      <w:r>
        <w:t xml:space="preserve">5 </w:t>
      </w:r>
      <w:r>
        <w:rPr>
          <w:rFonts w:asciiTheme="minorHAnsi" w:eastAsiaTheme="minorEastAsia" w:hAnsiTheme="minorHAnsi" w:cstheme="minorBidi"/>
          <w:b w:val="0"/>
          <w:sz w:val="22"/>
          <w:szCs w:val="22"/>
        </w:rPr>
        <w:tab/>
      </w:r>
      <w:r>
        <w:t>Relevantie van de organisatie</w:t>
      </w:r>
      <w:r>
        <w:tab/>
      </w:r>
      <w:r>
        <w:fldChar w:fldCharType="begin"/>
      </w:r>
      <w:r>
        <w:instrText xml:space="preserve"> PAGEREF _Toc491260360 \h </w:instrText>
      </w:r>
      <w:r>
        <w:fldChar w:fldCharType="separate"/>
      </w:r>
      <w:r>
        <w:t>18</w:t>
      </w:r>
      <w:r>
        <w:fldChar w:fldCharType="end"/>
      </w:r>
    </w:p>
    <w:p w14:paraId="32585C17" w14:textId="24AAF67F" w:rsidR="005D46F6" w:rsidRDefault="005D46F6">
      <w:pPr>
        <w:pStyle w:val="TOC3"/>
        <w:rPr>
          <w:rFonts w:asciiTheme="minorHAnsi" w:eastAsiaTheme="minorEastAsia" w:hAnsiTheme="minorHAnsi" w:cstheme="minorBidi"/>
          <w:sz w:val="22"/>
          <w:szCs w:val="22"/>
        </w:rPr>
      </w:pPr>
      <w:r>
        <w:t xml:space="preserve">5.1 </w:t>
      </w:r>
      <w:r>
        <w:rPr>
          <w:rFonts w:asciiTheme="minorHAnsi" w:eastAsiaTheme="minorEastAsia" w:hAnsiTheme="minorHAnsi" w:cstheme="minorBidi"/>
          <w:sz w:val="22"/>
          <w:szCs w:val="22"/>
        </w:rPr>
        <w:tab/>
      </w:r>
      <w:r>
        <w:t>Relevantie voor Nederlandse BHOS-prioriteiten</w:t>
      </w:r>
      <w:r>
        <w:tab/>
      </w:r>
      <w:r>
        <w:fldChar w:fldCharType="begin"/>
      </w:r>
      <w:r>
        <w:instrText xml:space="preserve"> PAGEREF _Toc491260361 \h </w:instrText>
      </w:r>
      <w:r>
        <w:fldChar w:fldCharType="separate"/>
      </w:r>
      <w:r>
        <w:t>18</w:t>
      </w:r>
      <w:r>
        <w:fldChar w:fldCharType="end"/>
      </w:r>
    </w:p>
    <w:p w14:paraId="2D51ECF0" w14:textId="0350AE7A" w:rsidR="00261F77" w:rsidRPr="00290657" w:rsidRDefault="009164C9" w:rsidP="0014161D">
      <w:pPr>
        <w:pStyle w:val="TOC3"/>
        <w:rPr>
          <w:rFonts w:ascii="Calibri" w:hAnsi="Calibri"/>
          <w:sz w:val="22"/>
          <w:szCs w:val="22"/>
        </w:rPr>
      </w:pPr>
      <w:r w:rsidRPr="00785F18">
        <w:fldChar w:fldCharType="end"/>
      </w:r>
    </w:p>
    <w:p w14:paraId="2D51ECF1" w14:textId="77777777" w:rsidR="00101F98" w:rsidRPr="00785F18" w:rsidRDefault="00101F98" w:rsidP="00163FA2">
      <w:pPr>
        <w:tabs>
          <w:tab w:val="left" w:pos="0"/>
        </w:tabs>
      </w:pPr>
    </w:p>
    <w:p w14:paraId="2D51ECF2" w14:textId="77777777" w:rsidR="00A908F9" w:rsidRPr="00A908F9" w:rsidRDefault="00A908F9" w:rsidP="00A908F9"/>
    <w:p w14:paraId="2D51ECF3" w14:textId="77777777" w:rsidR="00A908F9" w:rsidRDefault="00A908F9" w:rsidP="00A908F9">
      <w:pPr>
        <w:jc w:val="center"/>
      </w:pPr>
    </w:p>
    <w:p w14:paraId="2D51ECF4" w14:textId="77777777" w:rsidR="00101F98" w:rsidRPr="00A908F9" w:rsidRDefault="00101F98" w:rsidP="00A908F9">
      <w:pPr>
        <w:sectPr w:rsidR="00101F98" w:rsidRPr="00A908F9" w:rsidSect="000144B0">
          <w:headerReference w:type="first" r:id="rId17"/>
          <w:type w:val="continuous"/>
          <w:pgSz w:w="11906" w:h="16838" w:code="9"/>
          <w:pgMar w:top="2268" w:right="958" w:bottom="1077" w:left="3221" w:header="198" w:footer="658" w:gutter="0"/>
          <w:cols w:space="708"/>
          <w:titlePg/>
          <w:docGrid w:linePitch="360"/>
        </w:sectPr>
      </w:pPr>
    </w:p>
    <w:p w14:paraId="22BE6387" w14:textId="14C644DF" w:rsidR="004D1D28" w:rsidRDefault="004D1D28" w:rsidP="004D1D28">
      <w:pPr>
        <w:pStyle w:val="Heading1"/>
        <w:tabs>
          <w:tab w:val="num" w:pos="0"/>
        </w:tabs>
        <w:spacing w:after="240" w:line="240" w:lineRule="auto"/>
        <w:ind w:hanging="1162"/>
      </w:pPr>
      <w:bookmarkStart w:id="10" w:name="_Toc238533654"/>
      <w:bookmarkStart w:id="11" w:name="_Toc238537583"/>
      <w:bookmarkStart w:id="12" w:name="_Toc238538136"/>
      <w:bookmarkStart w:id="13" w:name="_Toc238538151"/>
      <w:bookmarkStart w:id="14" w:name="_Toc410397639"/>
      <w:bookmarkStart w:id="15" w:name="_Toc491260341"/>
      <w:bookmarkStart w:id="16" w:name="_Toc300822504"/>
      <w:bookmarkEnd w:id="10"/>
      <w:bookmarkEnd w:id="11"/>
      <w:bookmarkEnd w:id="12"/>
      <w:bookmarkEnd w:id="13"/>
      <w:r>
        <w:lastRenderedPageBreak/>
        <w:t>1</w:t>
      </w:r>
      <w:r>
        <w:tab/>
        <w:t>Samenvatting</w:t>
      </w:r>
      <w:bookmarkEnd w:id="14"/>
      <w:bookmarkEnd w:id="15"/>
    </w:p>
    <w:p w14:paraId="7CFD0416" w14:textId="4B1C4056" w:rsidR="004D1D28" w:rsidRDefault="004D1D28" w:rsidP="004D1D28">
      <w:pPr>
        <w:pStyle w:val="Heading2"/>
        <w:tabs>
          <w:tab w:val="left" w:pos="-1162"/>
          <w:tab w:val="left" w:pos="0"/>
          <w:tab w:val="num" w:pos="1160"/>
        </w:tabs>
        <w:spacing w:line="240" w:lineRule="auto"/>
        <w:ind w:hanging="1162"/>
      </w:pPr>
      <w:bookmarkStart w:id="17" w:name="_Toc410397640"/>
      <w:bookmarkStart w:id="18" w:name="_Toc491260342"/>
      <w:r>
        <w:t xml:space="preserve">1.1 </w:t>
      </w:r>
      <w:r>
        <w:tab/>
        <w:t>Institutionele aspecten en functioneren</w:t>
      </w:r>
      <w:bookmarkEnd w:id="17"/>
      <w:bookmarkEnd w:id="18"/>
    </w:p>
    <w:p w14:paraId="1192BC3A" w14:textId="77777777" w:rsidR="004D1D28" w:rsidRDefault="004D1D28" w:rsidP="004D1D28">
      <w:r>
        <w:t xml:space="preserve">Het World Food </w:t>
      </w:r>
      <w:proofErr w:type="spellStart"/>
      <w:r>
        <w:t>Programme</w:t>
      </w:r>
      <w:proofErr w:type="spellEnd"/>
      <w:r>
        <w:t xml:space="preserve"> (WFP) is de grootste humanitaire organisatie binnen het VN-systeem. De organisatie wordt gekenmerkt door een efficiënte en effectieve uitvoering van haar mandaat in vaak zeer complexe en moeilijke omstandigheden. Het is ook een organisatie die met haar tijd mee gaat, continu zichzelf blijft vernieuwen en op zoek is naar innovatie manieren om nog sneller en kostenefficiënt (voedsel)hulp te bieden aan mensen in nood. WFP is binnen de VN een voorloper op het gebied van brede (publiek-private) partnerschappen en zal dat naar verwachting blijven. WFP stelt alles in staan om haar behaalde resultaten transparant met de lidstaten en de rest van de wereld te delen. Het personeel staat centraal omdat WFP Management ervan overtuigd is dat de medewerkers </w:t>
      </w:r>
      <w:proofErr w:type="spellStart"/>
      <w:r>
        <w:t>WFP’s</w:t>
      </w:r>
      <w:proofErr w:type="spellEnd"/>
      <w:r>
        <w:t xml:space="preserve"> belangrijkste </w:t>
      </w:r>
      <w:r w:rsidRPr="00476586">
        <w:rPr>
          <w:i/>
        </w:rPr>
        <w:t>asset</w:t>
      </w:r>
      <w:r>
        <w:t xml:space="preserve"> zijn. Een continu aandachtspunt is fraude en corruptiebestrijding gezien de grote geld en goederenstromen (in een zeer complexe omgeving) waarmee WFP te maken heeft. Ook op dit gebied vindt een continue, soms stevige, dialoog plaats met de donoren. </w:t>
      </w:r>
    </w:p>
    <w:p w14:paraId="454BB6D7" w14:textId="77777777" w:rsidR="004D1D28" w:rsidRDefault="004D1D28" w:rsidP="004D1D28"/>
    <w:tbl>
      <w:tblPr>
        <w:tblW w:w="72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44"/>
        <w:gridCol w:w="851"/>
        <w:gridCol w:w="1606"/>
      </w:tblGrid>
      <w:tr w:rsidR="004D1D28" w14:paraId="4B6E6FFD" w14:textId="77777777" w:rsidTr="00EA114B">
        <w:tc>
          <w:tcPr>
            <w:tcW w:w="4744" w:type="dxa"/>
            <w:tcBorders>
              <w:top w:val="single" w:sz="12" w:space="0" w:color="auto"/>
              <w:left w:val="single" w:sz="12" w:space="0" w:color="auto"/>
              <w:bottom w:val="single" w:sz="12" w:space="0" w:color="auto"/>
            </w:tcBorders>
            <w:shd w:val="clear" w:color="auto" w:fill="BFBFBF" w:themeFill="background1" w:themeFillShade="BF"/>
          </w:tcPr>
          <w:p w14:paraId="04B231AC" w14:textId="77777777" w:rsidR="004D1D28" w:rsidRPr="006B230E" w:rsidRDefault="004D1D28" w:rsidP="00C54BB8">
            <w:pPr>
              <w:rPr>
                <w:b/>
              </w:rPr>
            </w:pPr>
            <w:r w:rsidRPr="006B230E">
              <w:rPr>
                <w:b/>
              </w:rPr>
              <w:t>Institutionele aspecten en functioneren</w:t>
            </w:r>
          </w:p>
        </w:tc>
        <w:tc>
          <w:tcPr>
            <w:tcW w:w="851" w:type="dxa"/>
            <w:tcBorders>
              <w:top w:val="single" w:sz="12" w:space="0" w:color="auto"/>
              <w:bottom w:val="single" w:sz="12" w:space="0" w:color="auto"/>
            </w:tcBorders>
            <w:shd w:val="clear" w:color="auto" w:fill="BFBFBF" w:themeFill="background1" w:themeFillShade="BF"/>
          </w:tcPr>
          <w:p w14:paraId="4328459D" w14:textId="77777777" w:rsidR="004D1D28" w:rsidRPr="006B230E" w:rsidRDefault="004D1D28" w:rsidP="00C54BB8">
            <w:pPr>
              <w:rPr>
                <w:b/>
              </w:rPr>
            </w:pPr>
            <w:r w:rsidRPr="006B230E">
              <w:rPr>
                <w:b/>
              </w:rPr>
              <w:t>Score</w:t>
            </w:r>
          </w:p>
        </w:tc>
        <w:tc>
          <w:tcPr>
            <w:tcW w:w="1606" w:type="dxa"/>
            <w:tcBorders>
              <w:top w:val="single" w:sz="12" w:space="0" w:color="auto"/>
              <w:bottom w:val="single" w:sz="12" w:space="0" w:color="auto"/>
              <w:right w:val="single" w:sz="12" w:space="0" w:color="auto"/>
            </w:tcBorders>
            <w:shd w:val="clear" w:color="auto" w:fill="BFBFBF" w:themeFill="background1" w:themeFillShade="BF"/>
          </w:tcPr>
          <w:p w14:paraId="7B035F5D" w14:textId="77777777" w:rsidR="004D1D28" w:rsidRPr="006B230E" w:rsidRDefault="004D1D28" w:rsidP="00C54BB8">
            <w:pPr>
              <w:rPr>
                <w:b/>
              </w:rPr>
            </w:pPr>
            <w:r w:rsidRPr="006B230E">
              <w:rPr>
                <w:b/>
              </w:rPr>
              <w:t>Verandering</w:t>
            </w:r>
          </w:p>
        </w:tc>
      </w:tr>
      <w:tr w:rsidR="004D1D28" w14:paraId="360EA3B1" w14:textId="77777777" w:rsidTr="004D1D28">
        <w:tc>
          <w:tcPr>
            <w:tcW w:w="4744" w:type="dxa"/>
            <w:tcBorders>
              <w:top w:val="single" w:sz="12" w:space="0" w:color="auto"/>
              <w:left w:val="single" w:sz="12" w:space="0" w:color="auto"/>
            </w:tcBorders>
            <w:shd w:val="clear" w:color="auto" w:fill="auto"/>
          </w:tcPr>
          <w:p w14:paraId="66CB2AD4" w14:textId="77777777" w:rsidR="004D1D28" w:rsidRPr="00C26035" w:rsidRDefault="004D1D28" w:rsidP="00C54BB8">
            <w:r>
              <w:t>Strategie en verantwoording</w:t>
            </w:r>
            <w:r w:rsidRPr="00C26035">
              <w:t xml:space="preserve"> </w:t>
            </w:r>
          </w:p>
        </w:tc>
        <w:tc>
          <w:tcPr>
            <w:tcW w:w="851" w:type="dxa"/>
            <w:tcBorders>
              <w:top w:val="single" w:sz="12" w:space="0" w:color="auto"/>
            </w:tcBorders>
            <w:shd w:val="clear" w:color="auto" w:fill="auto"/>
            <w:vAlign w:val="center"/>
          </w:tcPr>
          <w:p w14:paraId="1B36F2C4" w14:textId="77777777" w:rsidR="004D1D28" w:rsidRPr="00963E53" w:rsidRDefault="004D1D28" w:rsidP="00C54BB8">
            <w:pPr>
              <w:jc w:val="center"/>
            </w:pPr>
            <w:r w:rsidRPr="00963E53">
              <w:t>4</w:t>
            </w:r>
          </w:p>
        </w:tc>
        <w:tc>
          <w:tcPr>
            <w:tcW w:w="1606" w:type="dxa"/>
            <w:tcBorders>
              <w:top w:val="single" w:sz="12" w:space="0" w:color="auto"/>
              <w:right w:val="single" w:sz="12" w:space="0" w:color="auto"/>
            </w:tcBorders>
            <w:shd w:val="clear" w:color="auto" w:fill="auto"/>
            <w:vAlign w:val="center"/>
          </w:tcPr>
          <w:p w14:paraId="260C0453" w14:textId="77777777" w:rsidR="004D1D28" w:rsidRDefault="004D1D28" w:rsidP="00C54BB8">
            <w:pPr>
              <w:jc w:val="center"/>
            </w:pPr>
            <w:r w:rsidRPr="00193994">
              <w:sym w:font="Wingdings" w:char="F0E8"/>
            </w:r>
          </w:p>
        </w:tc>
      </w:tr>
      <w:tr w:rsidR="004D1D28" w14:paraId="2907528D" w14:textId="77777777" w:rsidTr="004D1D28">
        <w:tc>
          <w:tcPr>
            <w:tcW w:w="4744" w:type="dxa"/>
            <w:tcBorders>
              <w:left w:val="single" w:sz="12" w:space="0" w:color="auto"/>
            </w:tcBorders>
            <w:shd w:val="clear" w:color="auto" w:fill="auto"/>
          </w:tcPr>
          <w:p w14:paraId="6AAA9856" w14:textId="77777777" w:rsidR="004D1D28" w:rsidRDefault="004D1D28" w:rsidP="00C54BB8">
            <w:r>
              <w:t>Resultaatgerichtheid en transparantie</w:t>
            </w:r>
          </w:p>
        </w:tc>
        <w:tc>
          <w:tcPr>
            <w:tcW w:w="851" w:type="dxa"/>
            <w:shd w:val="clear" w:color="auto" w:fill="auto"/>
            <w:vAlign w:val="center"/>
          </w:tcPr>
          <w:p w14:paraId="2DA30FAF" w14:textId="77777777" w:rsidR="004D1D28" w:rsidRPr="00963E53" w:rsidRDefault="004D1D28" w:rsidP="00C54BB8">
            <w:pPr>
              <w:jc w:val="center"/>
            </w:pPr>
            <w:r w:rsidRPr="00963E53">
              <w:t>4</w:t>
            </w:r>
          </w:p>
        </w:tc>
        <w:tc>
          <w:tcPr>
            <w:tcW w:w="1606" w:type="dxa"/>
            <w:tcBorders>
              <w:right w:val="single" w:sz="12" w:space="0" w:color="auto"/>
            </w:tcBorders>
            <w:shd w:val="clear" w:color="auto" w:fill="auto"/>
            <w:vAlign w:val="center"/>
          </w:tcPr>
          <w:p w14:paraId="639D6A63" w14:textId="77777777" w:rsidR="004D1D28" w:rsidRDefault="004D1D28" w:rsidP="00C54BB8">
            <w:pPr>
              <w:jc w:val="center"/>
            </w:pPr>
            <w:r w:rsidRPr="00193994">
              <w:sym w:font="Wingdings" w:char="F0E8"/>
            </w:r>
          </w:p>
        </w:tc>
      </w:tr>
      <w:tr w:rsidR="004D1D28" w14:paraId="458D7E21" w14:textId="77777777" w:rsidTr="004D1D28">
        <w:tc>
          <w:tcPr>
            <w:tcW w:w="4744" w:type="dxa"/>
            <w:tcBorders>
              <w:left w:val="single" w:sz="12" w:space="0" w:color="auto"/>
            </w:tcBorders>
            <w:shd w:val="clear" w:color="auto" w:fill="auto"/>
          </w:tcPr>
          <w:p w14:paraId="18F6A4FF" w14:textId="77777777" w:rsidR="004D1D28" w:rsidRDefault="004D1D28" w:rsidP="00C54BB8">
            <w:r>
              <w:t>Partnerschappen</w:t>
            </w:r>
          </w:p>
        </w:tc>
        <w:tc>
          <w:tcPr>
            <w:tcW w:w="851" w:type="dxa"/>
            <w:shd w:val="clear" w:color="auto" w:fill="auto"/>
            <w:vAlign w:val="center"/>
          </w:tcPr>
          <w:p w14:paraId="49247FD6" w14:textId="77777777" w:rsidR="004D1D28" w:rsidRPr="00963E53" w:rsidRDefault="004D1D28" w:rsidP="00C54BB8">
            <w:pPr>
              <w:jc w:val="center"/>
            </w:pPr>
            <w:r w:rsidRPr="00963E53">
              <w:t>4</w:t>
            </w:r>
          </w:p>
        </w:tc>
        <w:tc>
          <w:tcPr>
            <w:tcW w:w="1606" w:type="dxa"/>
            <w:tcBorders>
              <w:right w:val="single" w:sz="12" w:space="0" w:color="auto"/>
            </w:tcBorders>
            <w:shd w:val="clear" w:color="auto" w:fill="auto"/>
            <w:vAlign w:val="center"/>
          </w:tcPr>
          <w:p w14:paraId="18490D3C" w14:textId="77777777" w:rsidR="004D1D28" w:rsidRDefault="004D1D28" w:rsidP="00C54BB8">
            <w:pPr>
              <w:jc w:val="center"/>
            </w:pPr>
            <w:r w:rsidRPr="00193994">
              <w:sym w:font="Wingdings" w:char="F0E8"/>
            </w:r>
          </w:p>
        </w:tc>
      </w:tr>
      <w:tr w:rsidR="004D1D28" w14:paraId="26C92CA2" w14:textId="77777777" w:rsidTr="004D1D28">
        <w:tc>
          <w:tcPr>
            <w:tcW w:w="4744" w:type="dxa"/>
            <w:tcBorders>
              <w:left w:val="single" w:sz="12" w:space="0" w:color="auto"/>
            </w:tcBorders>
            <w:shd w:val="clear" w:color="auto" w:fill="auto"/>
          </w:tcPr>
          <w:p w14:paraId="602C8ED4" w14:textId="77777777" w:rsidR="004D1D28" w:rsidRPr="00C26035" w:rsidRDefault="004D1D28" w:rsidP="00C54BB8">
            <w:r>
              <w:t>Operationeel management</w:t>
            </w:r>
          </w:p>
        </w:tc>
        <w:tc>
          <w:tcPr>
            <w:tcW w:w="851" w:type="dxa"/>
            <w:shd w:val="clear" w:color="auto" w:fill="auto"/>
            <w:vAlign w:val="center"/>
          </w:tcPr>
          <w:p w14:paraId="287048DD" w14:textId="77777777" w:rsidR="004D1D28" w:rsidRPr="00963E53" w:rsidRDefault="004D1D28" w:rsidP="00C54BB8">
            <w:pPr>
              <w:jc w:val="center"/>
            </w:pPr>
            <w:r w:rsidRPr="00963E53">
              <w:t>3</w:t>
            </w:r>
          </w:p>
        </w:tc>
        <w:tc>
          <w:tcPr>
            <w:tcW w:w="1606" w:type="dxa"/>
            <w:tcBorders>
              <w:right w:val="single" w:sz="12" w:space="0" w:color="auto"/>
            </w:tcBorders>
            <w:shd w:val="clear" w:color="auto" w:fill="auto"/>
            <w:vAlign w:val="center"/>
          </w:tcPr>
          <w:p w14:paraId="76A804B3" w14:textId="77777777" w:rsidR="004D1D28" w:rsidRDefault="004D1D28" w:rsidP="00C54BB8">
            <w:pPr>
              <w:jc w:val="center"/>
            </w:pPr>
            <w:r w:rsidRPr="00193994">
              <w:sym w:font="Wingdings" w:char="F0E8"/>
            </w:r>
          </w:p>
        </w:tc>
      </w:tr>
      <w:tr w:rsidR="004D1D28" w14:paraId="22258AE0" w14:textId="77777777" w:rsidTr="004D1D28">
        <w:tc>
          <w:tcPr>
            <w:tcW w:w="4744" w:type="dxa"/>
            <w:tcBorders>
              <w:left w:val="single" w:sz="12" w:space="0" w:color="auto"/>
            </w:tcBorders>
            <w:shd w:val="clear" w:color="auto" w:fill="auto"/>
          </w:tcPr>
          <w:p w14:paraId="0EC20205" w14:textId="77777777" w:rsidR="004D1D28" w:rsidRPr="00C26035" w:rsidRDefault="004D1D28" w:rsidP="00C54BB8">
            <w:r>
              <w:t>Beleidsevaluatie</w:t>
            </w:r>
          </w:p>
        </w:tc>
        <w:tc>
          <w:tcPr>
            <w:tcW w:w="851" w:type="dxa"/>
            <w:shd w:val="clear" w:color="auto" w:fill="auto"/>
            <w:vAlign w:val="center"/>
          </w:tcPr>
          <w:p w14:paraId="43D43203" w14:textId="77777777" w:rsidR="004D1D28" w:rsidRPr="00963E53" w:rsidRDefault="004D1D28" w:rsidP="00C54BB8">
            <w:pPr>
              <w:jc w:val="center"/>
            </w:pPr>
            <w:r w:rsidRPr="00963E53">
              <w:t>3</w:t>
            </w:r>
          </w:p>
        </w:tc>
        <w:tc>
          <w:tcPr>
            <w:tcW w:w="1606" w:type="dxa"/>
            <w:tcBorders>
              <w:right w:val="single" w:sz="12" w:space="0" w:color="auto"/>
            </w:tcBorders>
            <w:shd w:val="clear" w:color="auto" w:fill="auto"/>
            <w:vAlign w:val="center"/>
          </w:tcPr>
          <w:p w14:paraId="3E8F7FC5" w14:textId="77777777" w:rsidR="004D1D28" w:rsidRDefault="004D1D28" w:rsidP="00C54BB8">
            <w:pPr>
              <w:jc w:val="center"/>
            </w:pPr>
            <w:r w:rsidRPr="00193994">
              <w:sym w:font="Wingdings" w:char="F0E9"/>
            </w:r>
          </w:p>
        </w:tc>
      </w:tr>
      <w:tr w:rsidR="004D1D28" w14:paraId="466AAE4D" w14:textId="77777777" w:rsidTr="004D1D28">
        <w:tc>
          <w:tcPr>
            <w:tcW w:w="4744" w:type="dxa"/>
            <w:tcBorders>
              <w:left w:val="single" w:sz="12" w:space="0" w:color="auto"/>
            </w:tcBorders>
            <w:shd w:val="clear" w:color="auto" w:fill="auto"/>
          </w:tcPr>
          <w:p w14:paraId="154D72D8" w14:textId="77777777" w:rsidR="004D1D28" w:rsidRPr="00C26035" w:rsidRDefault="004D1D28" w:rsidP="00C54BB8">
            <w:r w:rsidRPr="00C26035">
              <w:t>Human Resource Management</w:t>
            </w:r>
          </w:p>
        </w:tc>
        <w:tc>
          <w:tcPr>
            <w:tcW w:w="851" w:type="dxa"/>
            <w:shd w:val="clear" w:color="auto" w:fill="auto"/>
            <w:vAlign w:val="center"/>
          </w:tcPr>
          <w:p w14:paraId="573B762D" w14:textId="77777777" w:rsidR="004D1D28" w:rsidRPr="00963E53" w:rsidRDefault="004D1D28" w:rsidP="00C54BB8">
            <w:pPr>
              <w:jc w:val="center"/>
            </w:pPr>
            <w:r w:rsidRPr="00963E53">
              <w:t>3</w:t>
            </w:r>
          </w:p>
        </w:tc>
        <w:tc>
          <w:tcPr>
            <w:tcW w:w="1606" w:type="dxa"/>
            <w:tcBorders>
              <w:right w:val="single" w:sz="12" w:space="0" w:color="auto"/>
            </w:tcBorders>
            <w:shd w:val="clear" w:color="auto" w:fill="auto"/>
            <w:vAlign w:val="center"/>
          </w:tcPr>
          <w:p w14:paraId="1F316E8C" w14:textId="77777777" w:rsidR="004D1D28" w:rsidRDefault="004D1D28" w:rsidP="00C54BB8">
            <w:pPr>
              <w:jc w:val="center"/>
            </w:pPr>
            <w:r w:rsidRPr="00193994">
              <w:sym w:font="Wingdings" w:char="F0E8"/>
            </w:r>
          </w:p>
        </w:tc>
      </w:tr>
      <w:tr w:rsidR="004D1D28" w14:paraId="3CD2F710" w14:textId="77777777" w:rsidTr="004D1D28">
        <w:tc>
          <w:tcPr>
            <w:tcW w:w="4744" w:type="dxa"/>
            <w:tcBorders>
              <w:left w:val="single" w:sz="12" w:space="0" w:color="auto"/>
            </w:tcBorders>
            <w:shd w:val="clear" w:color="auto" w:fill="auto"/>
          </w:tcPr>
          <w:p w14:paraId="05AD97B8" w14:textId="77777777" w:rsidR="004D1D28" w:rsidRPr="00445FEE" w:rsidRDefault="004D1D28" w:rsidP="00C54BB8">
            <w:r w:rsidRPr="00445FEE">
              <w:t xml:space="preserve">Financiële </w:t>
            </w:r>
            <w:r>
              <w:t>stabiliteit</w:t>
            </w:r>
          </w:p>
        </w:tc>
        <w:tc>
          <w:tcPr>
            <w:tcW w:w="851" w:type="dxa"/>
            <w:shd w:val="clear" w:color="auto" w:fill="auto"/>
            <w:vAlign w:val="center"/>
          </w:tcPr>
          <w:p w14:paraId="6FA215DA" w14:textId="77777777" w:rsidR="004D1D28" w:rsidRPr="00963E53" w:rsidRDefault="004D1D28" w:rsidP="00C54BB8">
            <w:pPr>
              <w:jc w:val="center"/>
            </w:pPr>
            <w:r w:rsidRPr="00963E53">
              <w:t>4</w:t>
            </w:r>
          </w:p>
        </w:tc>
        <w:tc>
          <w:tcPr>
            <w:tcW w:w="1606" w:type="dxa"/>
            <w:tcBorders>
              <w:right w:val="single" w:sz="12" w:space="0" w:color="auto"/>
            </w:tcBorders>
            <w:shd w:val="clear" w:color="auto" w:fill="auto"/>
            <w:vAlign w:val="center"/>
          </w:tcPr>
          <w:p w14:paraId="382D4C40" w14:textId="77777777" w:rsidR="004D1D28" w:rsidRDefault="004D1D28" w:rsidP="00C54BB8">
            <w:pPr>
              <w:jc w:val="center"/>
            </w:pPr>
            <w:r w:rsidRPr="00193994">
              <w:sym w:font="Wingdings" w:char="F0E9"/>
            </w:r>
          </w:p>
        </w:tc>
      </w:tr>
      <w:tr w:rsidR="004D1D28" w14:paraId="6C8EE923" w14:textId="77777777" w:rsidTr="004D1D28">
        <w:tc>
          <w:tcPr>
            <w:tcW w:w="4744" w:type="dxa"/>
            <w:tcBorders>
              <w:left w:val="single" w:sz="12" w:space="0" w:color="auto"/>
            </w:tcBorders>
            <w:shd w:val="clear" w:color="auto" w:fill="auto"/>
          </w:tcPr>
          <w:p w14:paraId="045CE30E" w14:textId="20A3060A" w:rsidR="004D1D28" w:rsidRPr="00445FEE" w:rsidRDefault="004D1D28" w:rsidP="00212A05">
            <w:r>
              <w:t>Kosten</w:t>
            </w:r>
            <w:r w:rsidR="00212A05">
              <w:t>reductie</w:t>
            </w:r>
          </w:p>
        </w:tc>
        <w:tc>
          <w:tcPr>
            <w:tcW w:w="851" w:type="dxa"/>
            <w:shd w:val="clear" w:color="auto" w:fill="auto"/>
            <w:vAlign w:val="center"/>
          </w:tcPr>
          <w:p w14:paraId="7A7F3313" w14:textId="77777777" w:rsidR="004D1D28" w:rsidRPr="00963E53" w:rsidRDefault="004D1D28" w:rsidP="00C54BB8">
            <w:pPr>
              <w:jc w:val="center"/>
            </w:pPr>
            <w:r w:rsidRPr="00963E53">
              <w:t>3</w:t>
            </w:r>
          </w:p>
        </w:tc>
        <w:tc>
          <w:tcPr>
            <w:tcW w:w="1606" w:type="dxa"/>
            <w:tcBorders>
              <w:right w:val="single" w:sz="12" w:space="0" w:color="auto"/>
            </w:tcBorders>
            <w:shd w:val="clear" w:color="auto" w:fill="auto"/>
            <w:vAlign w:val="center"/>
          </w:tcPr>
          <w:p w14:paraId="7CD7596F" w14:textId="77777777" w:rsidR="004D1D28" w:rsidRDefault="004D1D28" w:rsidP="00C54BB8">
            <w:pPr>
              <w:jc w:val="center"/>
            </w:pPr>
            <w:r w:rsidRPr="00193994">
              <w:sym w:font="Wingdings" w:char="F0E8"/>
            </w:r>
          </w:p>
        </w:tc>
      </w:tr>
      <w:tr w:rsidR="004D1D28" w14:paraId="1BF4E829" w14:textId="77777777" w:rsidTr="004D1D28">
        <w:tc>
          <w:tcPr>
            <w:tcW w:w="4744" w:type="dxa"/>
            <w:tcBorders>
              <w:left w:val="single" w:sz="12" w:space="0" w:color="auto"/>
              <w:bottom w:val="single" w:sz="12" w:space="0" w:color="auto"/>
            </w:tcBorders>
            <w:shd w:val="clear" w:color="auto" w:fill="auto"/>
          </w:tcPr>
          <w:p w14:paraId="4192E09F" w14:textId="77777777" w:rsidR="004D1D28" w:rsidRPr="00445FEE" w:rsidRDefault="004D1D28" w:rsidP="00C54BB8">
            <w:r w:rsidRPr="00445FEE">
              <w:t xml:space="preserve">Corruptiebestrijding </w:t>
            </w:r>
            <w:r>
              <w:t>en accountability</w:t>
            </w:r>
          </w:p>
        </w:tc>
        <w:tc>
          <w:tcPr>
            <w:tcW w:w="851" w:type="dxa"/>
            <w:tcBorders>
              <w:bottom w:val="single" w:sz="12" w:space="0" w:color="auto"/>
            </w:tcBorders>
            <w:shd w:val="clear" w:color="auto" w:fill="auto"/>
            <w:vAlign w:val="center"/>
          </w:tcPr>
          <w:p w14:paraId="3AC005CF" w14:textId="77777777" w:rsidR="004D1D28" w:rsidRPr="00963E53" w:rsidRDefault="004D1D28" w:rsidP="00C54BB8">
            <w:pPr>
              <w:jc w:val="center"/>
            </w:pPr>
            <w:r w:rsidRPr="00963E53">
              <w:t>4</w:t>
            </w:r>
          </w:p>
        </w:tc>
        <w:tc>
          <w:tcPr>
            <w:tcW w:w="1606" w:type="dxa"/>
            <w:tcBorders>
              <w:bottom w:val="single" w:sz="12" w:space="0" w:color="auto"/>
              <w:right w:val="single" w:sz="12" w:space="0" w:color="auto"/>
            </w:tcBorders>
            <w:shd w:val="clear" w:color="auto" w:fill="auto"/>
            <w:vAlign w:val="center"/>
          </w:tcPr>
          <w:p w14:paraId="73ABAC10" w14:textId="77777777" w:rsidR="004D1D28" w:rsidRDefault="004D1D28" w:rsidP="00C54BB8">
            <w:pPr>
              <w:jc w:val="center"/>
            </w:pPr>
            <w:r w:rsidRPr="00193994">
              <w:sym w:font="Wingdings" w:char="F0E8"/>
            </w:r>
          </w:p>
        </w:tc>
      </w:tr>
    </w:tbl>
    <w:p w14:paraId="1D7B3A99" w14:textId="77777777" w:rsidR="004D1D28" w:rsidRDefault="004D1D28" w:rsidP="004D1D28"/>
    <w:p w14:paraId="1B83C0EC" w14:textId="77777777" w:rsidR="004D1D28" w:rsidRPr="004D1D28" w:rsidRDefault="004D1D28" w:rsidP="004D1D28">
      <w:pPr>
        <w:ind w:firstLine="227"/>
      </w:pPr>
      <w:r w:rsidRPr="004D1D28">
        <w:t>Beoordeling: Onvoldoende = 1, Matig = 2, Voldoende = 3, Goed = 4</w:t>
      </w:r>
    </w:p>
    <w:p w14:paraId="288CE033" w14:textId="77777777" w:rsidR="004D1D28" w:rsidRPr="004D1D28" w:rsidRDefault="004D1D28" w:rsidP="004D1D28">
      <w:pPr>
        <w:ind w:firstLine="227"/>
      </w:pPr>
      <w:r w:rsidRPr="004D1D28">
        <w:t xml:space="preserve">Verandering sinds 2015: positief = </w:t>
      </w:r>
      <w:r w:rsidRPr="004D1D28">
        <w:sym w:font="Wingdings" w:char="F0E9"/>
      </w:r>
      <w:r w:rsidRPr="004D1D28">
        <w:t xml:space="preserve">, neutraal = </w:t>
      </w:r>
      <w:r w:rsidRPr="004D1D28">
        <w:sym w:font="Wingdings" w:char="F0E8"/>
      </w:r>
      <w:r w:rsidRPr="004D1D28">
        <w:t xml:space="preserve">, negatief = </w:t>
      </w:r>
      <w:r w:rsidRPr="004D1D28">
        <w:rPr>
          <w:rFonts w:ascii="Segoe UI Emoji" w:eastAsia="Segoe UI Emoji" w:hAnsi="Segoe UI Emoji" w:cs="Segoe UI Emoji"/>
          <w:b/>
          <w:noProof/>
        </w:rPr>
        <w:sym w:font="Wingdings" w:char="F0EA"/>
      </w:r>
    </w:p>
    <w:p w14:paraId="3F81BC6D" w14:textId="77777777" w:rsidR="004D1D28" w:rsidRPr="004D1D28" w:rsidRDefault="004D1D28" w:rsidP="004D1D28"/>
    <w:p w14:paraId="6F266867" w14:textId="58DA438B" w:rsidR="004D1D28" w:rsidRDefault="004D1D28" w:rsidP="004D1D28">
      <w:pPr>
        <w:pStyle w:val="Heading2"/>
        <w:tabs>
          <w:tab w:val="left" w:pos="-1162"/>
          <w:tab w:val="left" w:pos="0"/>
          <w:tab w:val="num" w:pos="1160"/>
        </w:tabs>
        <w:spacing w:line="240" w:lineRule="auto"/>
        <w:ind w:hanging="1162"/>
      </w:pPr>
      <w:bookmarkStart w:id="19" w:name="_Toc410397641"/>
      <w:bookmarkStart w:id="20" w:name="_Toc491260343"/>
      <w:r>
        <w:t xml:space="preserve">1.2 </w:t>
      </w:r>
      <w:r>
        <w:tab/>
        <w:t>Beleidsrelevantie</w:t>
      </w:r>
      <w:bookmarkEnd w:id="19"/>
      <w:r>
        <w:t xml:space="preserve"> voor de Nederlandse BHOS-prioriteiten</w:t>
      </w:r>
      <w:bookmarkEnd w:id="20"/>
    </w:p>
    <w:p w14:paraId="2F802A36" w14:textId="730E6FB0" w:rsidR="004D1D28" w:rsidRDefault="004D1D28" w:rsidP="004D1D28">
      <w:r w:rsidRPr="006E0E1B">
        <w:t>WFP is cruciaal voor de thema’s voedselzekerheid en humanitaire hulp.</w:t>
      </w:r>
      <w:r>
        <w:t xml:space="preserve"> Niet alleen als voedselhulpverlener, maar ook als coördinator voor de logistiek van het gehele humanitaire systeem van de VN. </w:t>
      </w:r>
      <w:r w:rsidRPr="006E0E1B">
        <w:t xml:space="preserve">Ook op het terrein van gendergelijkheid </w:t>
      </w:r>
      <w:r>
        <w:t xml:space="preserve">scoort WFP hoog. Op een aantal andere prioriteiten zoals </w:t>
      </w:r>
      <w:r w:rsidRPr="006E0E1B">
        <w:t xml:space="preserve">veiligheid en rechtsorde, SRGR en </w:t>
      </w:r>
      <w:r>
        <w:t>private sector ontwikkeling levert WFP een bijdrage, maar met een beperkte impact voor het BHOS beleid.</w:t>
      </w:r>
    </w:p>
    <w:p w14:paraId="62E01795" w14:textId="77777777" w:rsidR="004D1D28" w:rsidRDefault="004D1D28" w:rsidP="004D1D28"/>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1606"/>
        <w:gridCol w:w="1607"/>
        <w:gridCol w:w="1607"/>
      </w:tblGrid>
      <w:tr w:rsidR="004D1D28" w14:paraId="06A24B21" w14:textId="77777777" w:rsidTr="00EA114B">
        <w:tc>
          <w:tcPr>
            <w:tcW w:w="2410" w:type="dxa"/>
            <w:tcBorders>
              <w:top w:val="single" w:sz="12" w:space="0" w:color="auto"/>
              <w:left w:val="single" w:sz="12" w:space="0" w:color="auto"/>
              <w:bottom w:val="single" w:sz="12" w:space="0" w:color="auto"/>
            </w:tcBorders>
            <w:shd w:val="clear" w:color="auto" w:fill="BFBFBF" w:themeFill="background1" w:themeFillShade="BF"/>
          </w:tcPr>
          <w:p w14:paraId="49F59149" w14:textId="1F809EB9" w:rsidR="004D1D28" w:rsidRDefault="004D1D28" w:rsidP="00C54BB8"/>
        </w:tc>
        <w:tc>
          <w:tcPr>
            <w:tcW w:w="1606" w:type="dxa"/>
            <w:tcBorders>
              <w:top w:val="single" w:sz="12" w:space="0" w:color="auto"/>
              <w:bottom w:val="single" w:sz="12" w:space="0" w:color="auto"/>
            </w:tcBorders>
            <w:shd w:val="clear" w:color="auto" w:fill="BFBFBF" w:themeFill="background1" w:themeFillShade="BF"/>
          </w:tcPr>
          <w:p w14:paraId="6CD37568" w14:textId="77777777" w:rsidR="004D1D28" w:rsidRPr="00D94DB4" w:rsidRDefault="004D1D28" w:rsidP="00C54BB8">
            <w:pPr>
              <w:rPr>
                <w:b/>
              </w:rPr>
            </w:pPr>
            <w:r w:rsidRPr="00D94DB4">
              <w:rPr>
                <w:b/>
              </w:rPr>
              <w:t>Uitvoerend</w:t>
            </w:r>
          </w:p>
        </w:tc>
        <w:tc>
          <w:tcPr>
            <w:tcW w:w="1607" w:type="dxa"/>
            <w:tcBorders>
              <w:top w:val="single" w:sz="12" w:space="0" w:color="auto"/>
              <w:bottom w:val="single" w:sz="12" w:space="0" w:color="auto"/>
            </w:tcBorders>
            <w:shd w:val="clear" w:color="auto" w:fill="BFBFBF" w:themeFill="background1" w:themeFillShade="BF"/>
          </w:tcPr>
          <w:p w14:paraId="074C1976" w14:textId="77777777" w:rsidR="004D1D28" w:rsidRPr="00D94DB4" w:rsidRDefault="004D1D28" w:rsidP="00C54BB8">
            <w:pPr>
              <w:rPr>
                <w:b/>
              </w:rPr>
            </w:pPr>
            <w:r w:rsidRPr="00D94DB4">
              <w:rPr>
                <w:b/>
              </w:rPr>
              <w:t>Coördinerend</w:t>
            </w:r>
          </w:p>
        </w:tc>
        <w:tc>
          <w:tcPr>
            <w:tcW w:w="1607" w:type="dxa"/>
            <w:tcBorders>
              <w:top w:val="single" w:sz="12" w:space="0" w:color="auto"/>
              <w:bottom w:val="single" w:sz="12" w:space="0" w:color="auto"/>
              <w:right w:val="single" w:sz="12" w:space="0" w:color="auto"/>
            </w:tcBorders>
            <w:shd w:val="clear" w:color="auto" w:fill="BFBFBF" w:themeFill="background1" w:themeFillShade="BF"/>
          </w:tcPr>
          <w:p w14:paraId="0D796EF4" w14:textId="77777777" w:rsidR="004D1D28" w:rsidRPr="00D94DB4" w:rsidRDefault="004D1D28" w:rsidP="00C54BB8">
            <w:pPr>
              <w:rPr>
                <w:b/>
              </w:rPr>
            </w:pPr>
            <w:r w:rsidRPr="00D94DB4">
              <w:rPr>
                <w:b/>
              </w:rPr>
              <w:t>Normatief</w:t>
            </w:r>
          </w:p>
        </w:tc>
      </w:tr>
      <w:tr w:rsidR="004D1D28" w14:paraId="64C8C04B" w14:textId="77777777" w:rsidTr="00EA114B">
        <w:tc>
          <w:tcPr>
            <w:tcW w:w="7230" w:type="dxa"/>
            <w:gridSpan w:val="4"/>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14:paraId="42F8FB2D" w14:textId="66D5C616" w:rsidR="004D1D28" w:rsidRPr="00D94DB4" w:rsidRDefault="004D1D28" w:rsidP="00C54BB8">
            <w:pPr>
              <w:rPr>
                <w:b/>
              </w:rPr>
            </w:pPr>
            <w:r>
              <w:rPr>
                <w:b/>
              </w:rPr>
              <w:t>Relevantie voor de Nederlandse BHOS-prioriteiten</w:t>
            </w:r>
          </w:p>
        </w:tc>
      </w:tr>
      <w:tr w:rsidR="004D1D28" w14:paraId="754B1EB0" w14:textId="77777777" w:rsidTr="004D1D28">
        <w:tc>
          <w:tcPr>
            <w:tcW w:w="2410" w:type="dxa"/>
            <w:tcBorders>
              <w:top w:val="single" w:sz="12" w:space="0" w:color="auto"/>
              <w:left w:val="single" w:sz="12" w:space="0" w:color="auto"/>
            </w:tcBorders>
            <w:shd w:val="clear" w:color="auto" w:fill="auto"/>
          </w:tcPr>
          <w:p w14:paraId="1B28E537" w14:textId="107875CB" w:rsidR="00C16DD0" w:rsidRDefault="004D1D28" w:rsidP="00C54BB8">
            <w:r>
              <w:t>Voedselzekerheid</w:t>
            </w:r>
          </w:p>
        </w:tc>
        <w:tc>
          <w:tcPr>
            <w:tcW w:w="1606" w:type="dxa"/>
            <w:tcBorders>
              <w:top w:val="single" w:sz="12" w:space="0" w:color="auto"/>
            </w:tcBorders>
            <w:shd w:val="clear" w:color="auto" w:fill="auto"/>
          </w:tcPr>
          <w:p w14:paraId="0AEE399D" w14:textId="77777777" w:rsidR="004D1D28" w:rsidRPr="00EA114B" w:rsidRDefault="004D1D28" w:rsidP="00EA114B">
            <w:r w:rsidRPr="00EA114B">
              <w:t>4</w:t>
            </w:r>
          </w:p>
        </w:tc>
        <w:tc>
          <w:tcPr>
            <w:tcW w:w="1607" w:type="dxa"/>
            <w:tcBorders>
              <w:top w:val="single" w:sz="12" w:space="0" w:color="auto"/>
            </w:tcBorders>
            <w:shd w:val="clear" w:color="auto" w:fill="auto"/>
          </w:tcPr>
          <w:p w14:paraId="7024EC36" w14:textId="77777777" w:rsidR="004D1D28" w:rsidRPr="00EA114B" w:rsidRDefault="004D1D28" w:rsidP="00EA114B">
            <w:r w:rsidRPr="00EA114B">
              <w:t>4</w:t>
            </w:r>
          </w:p>
        </w:tc>
        <w:tc>
          <w:tcPr>
            <w:tcW w:w="1607" w:type="dxa"/>
            <w:tcBorders>
              <w:top w:val="single" w:sz="12" w:space="0" w:color="auto"/>
              <w:right w:val="single" w:sz="12" w:space="0" w:color="auto"/>
            </w:tcBorders>
            <w:shd w:val="clear" w:color="auto" w:fill="auto"/>
          </w:tcPr>
          <w:p w14:paraId="5386CBF3" w14:textId="77777777" w:rsidR="004D1D28" w:rsidRPr="00EA114B" w:rsidRDefault="004D1D28" w:rsidP="00EA114B"/>
        </w:tc>
      </w:tr>
      <w:tr w:rsidR="004D1D28" w14:paraId="6014ADD4" w14:textId="77777777" w:rsidTr="004D1D28">
        <w:tc>
          <w:tcPr>
            <w:tcW w:w="2410" w:type="dxa"/>
            <w:tcBorders>
              <w:left w:val="single" w:sz="12" w:space="0" w:color="auto"/>
            </w:tcBorders>
            <w:shd w:val="clear" w:color="auto" w:fill="auto"/>
          </w:tcPr>
          <w:p w14:paraId="5DE537FA" w14:textId="3B7C39A9" w:rsidR="00C16DD0" w:rsidRDefault="004D1D28" w:rsidP="00C54BB8">
            <w:r>
              <w:t>Gendergelijkheid</w:t>
            </w:r>
          </w:p>
        </w:tc>
        <w:tc>
          <w:tcPr>
            <w:tcW w:w="1606" w:type="dxa"/>
            <w:shd w:val="clear" w:color="auto" w:fill="auto"/>
          </w:tcPr>
          <w:p w14:paraId="3DA15D58" w14:textId="77777777" w:rsidR="004D1D28" w:rsidRPr="00EA114B" w:rsidRDefault="004D1D28" w:rsidP="00EA114B">
            <w:r w:rsidRPr="00EA114B">
              <w:t>4</w:t>
            </w:r>
          </w:p>
        </w:tc>
        <w:tc>
          <w:tcPr>
            <w:tcW w:w="1607" w:type="dxa"/>
            <w:shd w:val="clear" w:color="auto" w:fill="auto"/>
          </w:tcPr>
          <w:p w14:paraId="7286C58B" w14:textId="77777777" w:rsidR="004D1D28" w:rsidRPr="00EA114B" w:rsidRDefault="004D1D28" w:rsidP="00EA114B"/>
        </w:tc>
        <w:tc>
          <w:tcPr>
            <w:tcW w:w="1607" w:type="dxa"/>
            <w:tcBorders>
              <w:right w:val="single" w:sz="12" w:space="0" w:color="auto"/>
            </w:tcBorders>
            <w:shd w:val="clear" w:color="auto" w:fill="auto"/>
          </w:tcPr>
          <w:p w14:paraId="375557C3" w14:textId="77777777" w:rsidR="004D1D28" w:rsidRPr="00EA114B" w:rsidRDefault="004D1D28" w:rsidP="00EA114B"/>
        </w:tc>
      </w:tr>
      <w:tr w:rsidR="004D1D28" w14:paraId="4B1D0CE7" w14:textId="77777777" w:rsidTr="004D1D28">
        <w:tc>
          <w:tcPr>
            <w:tcW w:w="2410" w:type="dxa"/>
            <w:tcBorders>
              <w:left w:val="single" w:sz="12" w:space="0" w:color="auto"/>
              <w:bottom w:val="single" w:sz="12" w:space="0" w:color="auto"/>
            </w:tcBorders>
            <w:shd w:val="clear" w:color="auto" w:fill="auto"/>
          </w:tcPr>
          <w:p w14:paraId="145D7DA1" w14:textId="026C2D85" w:rsidR="00C16DD0" w:rsidRDefault="004D1D28" w:rsidP="00C54BB8">
            <w:r>
              <w:t>Humanitaire hulp</w:t>
            </w:r>
          </w:p>
        </w:tc>
        <w:tc>
          <w:tcPr>
            <w:tcW w:w="1606" w:type="dxa"/>
            <w:tcBorders>
              <w:bottom w:val="single" w:sz="12" w:space="0" w:color="auto"/>
            </w:tcBorders>
            <w:shd w:val="clear" w:color="auto" w:fill="auto"/>
          </w:tcPr>
          <w:p w14:paraId="61A93445" w14:textId="77777777" w:rsidR="004D1D28" w:rsidRPr="00EA114B" w:rsidRDefault="004D1D28" w:rsidP="00EA114B">
            <w:r w:rsidRPr="00EA114B">
              <w:t>4</w:t>
            </w:r>
          </w:p>
        </w:tc>
        <w:tc>
          <w:tcPr>
            <w:tcW w:w="1607" w:type="dxa"/>
            <w:tcBorders>
              <w:bottom w:val="single" w:sz="12" w:space="0" w:color="auto"/>
            </w:tcBorders>
            <w:shd w:val="clear" w:color="auto" w:fill="auto"/>
          </w:tcPr>
          <w:p w14:paraId="33473068" w14:textId="77777777" w:rsidR="004D1D28" w:rsidRPr="00EA114B" w:rsidRDefault="004D1D28" w:rsidP="00EA114B">
            <w:r w:rsidRPr="00EA114B">
              <w:t>4</w:t>
            </w:r>
          </w:p>
        </w:tc>
        <w:tc>
          <w:tcPr>
            <w:tcW w:w="1607" w:type="dxa"/>
            <w:tcBorders>
              <w:bottom w:val="single" w:sz="12" w:space="0" w:color="auto"/>
              <w:right w:val="single" w:sz="12" w:space="0" w:color="auto"/>
            </w:tcBorders>
            <w:shd w:val="clear" w:color="auto" w:fill="auto"/>
          </w:tcPr>
          <w:p w14:paraId="4D18CA7D" w14:textId="77777777" w:rsidR="004D1D28" w:rsidRPr="00EA114B" w:rsidRDefault="004D1D28" w:rsidP="00EA114B">
            <w:r w:rsidRPr="00EA114B">
              <w:t>4</w:t>
            </w:r>
          </w:p>
        </w:tc>
      </w:tr>
    </w:tbl>
    <w:p w14:paraId="757DAC7E" w14:textId="77777777" w:rsidR="004D1D28" w:rsidRPr="00D56200" w:rsidRDefault="004D1D28" w:rsidP="004D1D28"/>
    <w:p w14:paraId="714F4971" w14:textId="77777777" w:rsidR="004D1D28" w:rsidRPr="00D56200" w:rsidRDefault="004D1D28" w:rsidP="004D1D28">
      <w:pPr>
        <w:ind w:firstLine="227"/>
      </w:pPr>
      <w:r w:rsidRPr="00D56200">
        <w:t>Beoordeling: Onvoldoende = 1, Matig = 2, Voldoende = 3, Goed = 4</w:t>
      </w:r>
    </w:p>
    <w:p w14:paraId="09C17502" w14:textId="77777777" w:rsidR="004D1D28" w:rsidRPr="00D56200" w:rsidRDefault="004D1D28" w:rsidP="004D1D28"/>
    <w:p w14:paraId="2D51ECF5" w14:textId="6FDA8A07" w:rsidR="00B95FC2" w:rsidRPr="00734374" w:rsidRDefault="004D1D28" w:rsidP="00734374">
      <w:pPr>
        <w:pStyle w:val="Heading1"/>
        <w:tabs>
          <w:tab w:val="num" w:pos="0"/>
        </w:tabs>
        <w:spacing w:after="240" w:line="240" w:lineRule="auto"/>
        <w:ind w:hanging="1162"/>
      </w:pPr>
      <w:bookmarkStart w:id="21" w:name="_Toc491260344"/>
      <w:r>
        <w:lastRenderedPageBreak/>
        <w:t>2</w:t>
      </w:r>
      <w:r w:rsidR="00734374" w:rsidRPr="00734374">
        <w:t xml:space="preserve"> </w:t>
      </w:r>
      <w:r w:rsidR="00734374">
        <w:tab/>
      </w:r>
      <w:r w:rsidR="00AD0CCB" w:rsidRPr="00734374">
        <w:t>Inleiding</w:t>
      </w:r>
      <w:bookmarkEnd w:id="16"/>
      <w:bookmarkEnd w:id="21"/>
    </w:p>
    <w:p w14:paraId="2D51ECF6" w14:textId="7C43D5EC" w:rsidR="005D3322" w:rsidRDefault="005150FC" w:rsidP="005150FC">
      <w:pPr>
        <w:shd w:val="clear" w:color="auto" w:fill="FFFFFF"/>
        <w:spacing w:before="100" w:beforeAutospacing="1" w:after="100" w:afterAutospacing="1" w:line="240" w:lineRule="auto"/>
        <w:rPr>
          <w:szCs w:val="18"/>
          <w:lang w:eastAsia="zh-CN"/>
        </w:rPr>
      </w:pPr>
      <w:r>
        <w:rPr>
          <w:szCs w:val="18"/>
          <w:lang w:eastAsia="zh-CN"/>
        </w:rPr>
        <w:t xml:space="preserve">Scorecards worden opgesteld om het functioneren en de beleidsrelevantie van multilaterale organisaties in kaart te brengen. </w:t>
      </w:r>
      <w:r w:rsidR="00710978">
        <w:rPr>
          <w:szCs w:val="18"/>
          <w:lang w:eastAsia="zh-CN"/>
        </w:rPr>
        <w:t>D</w:t>
      </w:r>
      <w:r>
        <w:rPr>
          <w:szCs w:val="18"/>
          <w:lang w:eastAsia="zh-CN"/>
        </w:rPr>
        <w:t>e Nederlandse inzet in multilaterale organisaties word</w:t>
      </w:r>
      <w:r w:rsidR="00710978">
        <w:rPr>
          <w:szCs w:val="18"/>
          <w:lang w:eastAsia="zh-CN"/>
        </w:rPr>
        <w:t>t</w:t>
      </w:r>
      <w:r>
        <w:rPr>
          <w:szCs w:val="18"/>
          <w:lang w:eastAsia="zh-CN"/>
        </w:rPr>
        <w:t xml:space="preserve"> geconcentreerd op organ</w:t>
      </w:r>
      <w:r w:rsidR="007E1149">
        <w:rPr>
          <w:szCs w:val="18"/>
          <w:lang w:eastAsia="zh-CN"/>
        </w:rPr>
        <w:t xml:space="preserve">isaties </w:t>
      </w:r>
      <w:r w:rsidR="00A71A15">
        <w:rPr>
          <w:szCs w:val="18"/>
          <w:lang w:eastAsia="zh-CN"/>
        </w:rPr>
        <w:t xml:space="preserve">die effectief zijn en </w:t>
      </w:r>
      <w:r w:rsidR="007E1149">
        <w:rPr>
          <w:szCs w:val="18"/>
          <w:lang w:eastAsia="zh-CN"/>
        </w:rPr>
        <w:t>die relevant zijn voor</w:t>
      </w:r>
      <w:r>
        <w:rPr>
          <w:szCs w:val="18"/>
          <w:lang w:eastAsia="zh-CN"/>
        </w:rPr>
        <w:t xml:space="preserve"> het Nederlandse beleid</w:t>
      </w:r>
      <w:r w:rsidR="000C082E">
        <w:rPr>
          <w:szCs w:val="18"/>
          <w:lang w:eastAsia="zh-CN"/>
        </w:rPr>
        <w:t xml:space="preserve">, </w:t>
      </w:r>
      <w:r w:rsidR="00456C9B">
        <w:rPr>
          <w:szCs w:val="18"/>
          <w:lang w:eastAsia="zh-CN"/>
        </w:rPr>
        <w:t>of</w:t>
      </w:r>
      <w:r w:rsidR="000C082E">
        <w:rPr>
          <w:szCs w:val="18"/>
          <w:lang w:eastAsia="zh-CN"/>
        </w:rPr>
        <w:t xml:space="preserve"> een sleutelrol vervullen binnen de multilaterale architectuur als </w:t>
      </w:r>
      <w:r w:rsidR="00125028">
        <w:rPr>
          <w:szCs w:val="18"/>
          <w:lang w:eastAsia="zh-CN"/>
        </w:rPr>
        <w:t>“</w:t>
      </w:r>
      <w:r w:rsidR="000C082E">
        <w:rPr>
          <w:szCs w:val="18"/>
          <w:lang w:eastAsia="zh-CN"/>
        </w:rPr>
        <w:t>systeemorganisatie</w:t>
      </w:r>
      <w:r w:rsidR="00125028">
        <w:rPr>
          <w:szCs w:val="18"/>
          <w:lang w:eastAsia="zh-CN"/>
        </w:rPr>
        <w:t>”</w:t>
      </w:r>
      <w:r w:rsidR="000C082E">
        <w:rPr>
          <w:szCs w:val="18"/>
          <w:lang w:eastAsia="zh-CN"/>
        </w:rPr>
        <w:t xml:space="preserve">. </w:t>
      </w:r>
      <w:r w:rsidR="00967346">
        <w:rPr>
          <w:szCs w:val="18"/>
          <w:lang w:eastAsia="zh-CN"/>
        </w:rPr>
        <w:t>Dit vraagt om</w:t>
      </w:r>
      <w:r>
        <w:rPr>
          <w:szCs w:val="18"/>
          <w:lang w:eastAsia="zh-CN"/>
        </w:rPr>
        <w:t xml:space="preserve"> zorgvuldige en regelmatige toetsing. </w:t>
      </w:r>
      <w:r w:rsidR="005D3322">
        <w:rPr>
          <w:szCs w:val="18"/>
          <w:lang w:eastAsia="zh-CN"/>
        </w:rPr>
        <w:t>Het streven is om scorecards</w:t>
      </w:r>
      <w:r w:rsidR="00DB2280">
        <w:rPr>
          <w:szCs w:val="18"/>
          <w:lang w:eastAsia="zh-CN"/>
        </w:rPr>
        <w:t xml:space="preserve"> op te stellen voor de</w:t>
      </w:r>
      <w:r w:rsidR="005D3322">
        <w:rPr>
          <w:szCs w:val="18"/>
          <w:lang w:eastAsia="zh-CN"/>
        </w:rPr>
        <w:t xml:space="preserve"> </w:t>
      </w:r>
      <w:r w:rsidR="00A2455B">
        <w:rPr>
          <w:szCs w:val="18"/>
          <w:lang w:eastAsia="zh-CN"/>
        </w:rPr>
        <w:t xml:space="preserve">VN Fondsen en </w:t>
      </w:r>
      <w:r w:rsidR="00223E42">
        <w:rPr>
          <w:szCs w:val="18"/>
          <w:lang w:eastAsia="zh-CN"/>
        </w:rPr>
        <w:t xml:space="preserve">Programma’s, </w:t>
      </w:r>
      <w:r w:rsidR="003B4CB4">
        <w:rPr>
          <w:szCs w:val="18"/>
          <w:lang w:eastAsia="zh-CN"/>
        </w:rPr>
        <w:t xml:space="preserve">de Internationale </w:t>
      </w:r>
      <w:r w:rsidR="00F613E9">
        <w:rPr>
          <w:szCs w:val="18"/>
          <w:lang w:eastAsia="zh-CN"/>
        </w:rPr>
        <w:t>Financiële</w:t>
      </w:r>
      <w:r w:rsidR="003B4CB4">
        <w:rPr>
          <w:szCs w:val="18"/>
          <w:lang w:eastAsia="zh-CN"/>
        </w:rPr>
        <w:t xml:space="preserve"> Instellingen</w:t>
      </w:r>
      <w:r w:rsidR="004D1D28">
        <w:rPr>
          <w:szCs w:val="18"/>
          <w:lang w:eastAsia="zh-CN"/>
        </w:rPr>
        <w:t xml:space="preserve"> (</w:t>
      </w:r>
      <w:proofErr w:type="spellStart"/>
      <w:r w:rsidR="004D1D28">
        <w:rPr>
          <w:szCs w:val="18"/>
          <w:lang w:eastAsia="zh-CN"/>
        </w:rPr>
        <w:t>IFI’s</w:t>
      </w:r>
      <w:proofErr w:type="spellEnd"/>
      <w:r w:rsidR="004D1D28">
        <w:rPr>
          <w:szCs w:val="18"/>
          <w:lang w:eastAsia="zh-CN"/>
        </w:rPr>
        <w:t>)</w:t>
      </w:r>
      <w:r w:rsidR="003B4CB4">
        <w:rPr>
          <w:szCs w:val="18"/>
          <w:lang w:eastAsia="zh-CN"/>
        </w:rPr>
        <w:t xml:space="preserve">, </w:t>
      </w:r>
      <w:r w:rsidR="00223E42">
        <w:rPr>
          <w:szCs w:val="18"/>
          <w:lang w:eastAsia="zh-CN"/>
        </w:rPr>
        <w:t xml:space="preserve">de voor Nederlands </w:t>
      </w:r>
      <w:r w:rsidR="004D1D28">
        <w:rPr>
          <w:szCs w:val="18"/>
          <w:lang w:eastAsia="zh-CN"/>
        </w:rPr>
        <w:t>beleid voor Buitenlandse Handel en Ontwikkelingssamenwerking (</w:t>
      </w:r>
      <w:r w:rsidR="00223E42">
        <w:rPr>
          <w:szCs w:val="18"/>
          <w:lang w:eastAsia="zh-CN"/>
        </w:rPr>
        <w:t>BHOS</w:t>
      </w:r>
      <w:r w:rsidR="004D1D28">
        <w:rPr>
          <w:szCs w:val="18"/>
          <w:lang w:eastAsia="zh-CN"/>
        </w:rPr>
        <w:t xml:space="preserve">) </w:t>
      </w:r>
      <w:r w:rsidR="00223E42">
        <w:rPr>
          <w:szCs w:val="18"/>
          <w:lang w:eastAsia="zh-CN"/>
        </w:rPr>
        <w:t>relevante gespecialiseerde VN-organisaties en kantoren, en de majeure wereldwijde fondsen</w:t>
      </w:r>
      <w:r w:rsidR="00A37B8E">
        <w:rPr>
          <w:szCs w:val="18"/>
          <w:lang w:eastAsia="zh-CN"/>
        </w:rPr>
        <w:t>;</w:t>
      </w:r>
      <w:r w:rsidR="00223E42">
        <w:rPr>
          <w:szCs w:val="18"/>
          <w:lang w:eastAsia="zh-CN"/>
        </w:rPr>
        <w:t xml:space="preserve"> </w:t>
      </w:r>
      <w:r w:rsidR="005D3322">
        <w:rPr>
          <w:szCs w:val="18"/>
          <w:lang w:eastAsia="zh-CN"/>
        </w:rPr>
        <w:t xml:space="preserve">multilaterale organisaties waaraan Nederland een substantiële ODA-bijdrage levert. De relevantie wordt primair getoetst aan het Nederlandse </w:t>
      </w:r>
      <w:r w:rsidR="004D1D28">
        <w:rPr>
          <w:szCs w:val="18"/>
          <w:lang w:eastAsia="zh-CN"/>
        </w:rPr>
        <w:t>BHOS-beleid</w:t>
      </w:r>
      <w:r w:rsidR="00CF0A55">
        <w:rPr>
          <w:szCs w:val="18"/>
          <w:lang w:eastAsia="zh-CN"/>
        </w:rPr>
        <w:t>,</w:t>
      </w:r>
      <w:r w:rsidR="005D3322">
        <w:rPr>
          <w:szCs w:val="18"/>
          <w:lang w:eastAsia="zh-CN"/>
        </w:rPr>
        <w:t xml:space="preserve"> maar de bredere betekenis van multilaterale instellingen voor andere aspecten van Nederlands beleid wordt </w:t>
      </w:r>
      <w:r w:rsidR="00A8630D">
        <w:rPr>
          <w:szCs w:val="18"/>
          <w:lang w:eastAsia="zh-CN"/>
        </w:rPr>
        <w:t>waar relevant</w:t>
      </w:r>
      <w:r w:rsidR="005D3322">
        <w:rPr>
          <w:szCs w:val="18"/>
          <w:lang w:eastAsia="zh-CN"/>
        </w:rPr>
        <w:t xml:space="preserve"> meegenomen.</w:t>
      </w:r>
    </w:p>
    <w:p w14:paraId="2D51ECF7" w14:textId="77777777" w:rsidR="005150FC" w:rsidRPr="00307981" w:rsidRDefault="005150FC" w:rsidP="005150FC">
      <w:pPr>
        <w:shd w:val="clear" w:color="auto" w:fill="FFFFFF"/>
        <w:spacing w:before="100" w:beforeAutospacing="1" w:after="100" w:afterAutospacing="1" w:line="240" w:lineRule="auto"/>
        <w:rPr>
          <w:szCs w:val="18"/>
          <w:lang w:eastAsia="zh-CN"/>
        </w:rPr>
      </w:pPr>
      <w:r>
        <w:rPr>
          <w:szCs w:val="18"/>
          <w:lang w:eastAsia="zh-CN"/>
        </w:rPr>
        <w:t>Elke</w:t>
      </w:r>
      <w:r w:rsidRPr="00307981">
        <w:rPr>
          <w:szCs w:val="18"/>
          <w:lang w:eastAsia="zh-CN"/>
        </w:rPr>
        <w:t xml:space="preserve"> scorecard ge</w:t>
      </w:r>
      <w:r>
        <w:rPr>
          <w:szCs w:val="18"/>
          <w:lang w:eastAsia="zh-CN"/>
        </w:rPr>
        <w:t>eft</w:t>
      </w:r>
      <w:r w:rsidRPr="00307981">
        <w:rPr>
          <w:szCs w:val="18"/>
          <w:lang w:eastAsia="zh-CN"/>
        </w:rPr>
        <w:t xml:space="preserve"> een overzicht van de doelstellingen</w:t>
      </w:r>
      <w:r w:rsidR="00C1320B">
        <w:rPr>
          <w:szCs w:val="18"/>
          <w:lang w:eastAsia="zh-CN"/>
        </w:rPr>
        <w:t>,</w:t>
      </w:r>
      <w:r w:rsidRPr="00307981">
        <w:rPr>
          <w:szCs w:val="18"/>
          <w:lang w:eastAsia="zh-CN"/>
        </w:rPr>
        <w:t xml:space="preserve"> het mandaat </w:t>
      </w:r>
      <w:r w:rsidR="00C1320B">
        <w:rPr>
          <w:szCs w:val="18"/>
          <w:lang w:eastAsia="zh-CN"/>
        </w:rPr>
        <w:t xml:space="preserve">en de kernkwaliteiten </w:t>
      </w:r>
      <w:r w:rsidR="006569DB">
        <w:rPr>
          <w:szCs w:val="18"/>
          <w:lang w:eastAsia="zh-CN"/>
        </w:rPr>
        <w:t xml:space="preserve">van de </w:t>
      </w:r>
      <w:r w:rsidRPr="00307981">
        <w:rPr>
          <w:szCs w:val="18"/>
          <w:lang w:eastAsia="zh-CN"/>
        </w:rPr>
        <w:t xml:space="preserve">betreffende internationale </w:t>
      </w:r>
      <w:r>
        <w:rPr>
          <w:szCs w:val="18"/>
          <w:lang w:eastAsia="zh-CN"/>
        </w:rPr>
        <w:t>instelling</w:t>
      </w:r>
      <w:r w:rsidRPr="00307981">
        <w:rPr>
          <w:szCs w:val="18"/>
          <w:lang w:eastAsia="zh-CN"/>
        </w:rPr>
        <w:t xml:space="preserve">, van de wijze waarop de organisatie </w:t>
      </w:r>
      <w:r>
        <w:rPr>
          <w:szCs w:val="18"/>
          <w:lang w:eastAsia="zh-CN"/>
        </w:rPr>
        <w:t>is ingericht en welke activiteiten ze</w:t>
      </w:r>
      <w:r w:rsidRPr="00307981">
        <w:rPr>
          <w:szCs w:val="18"/>
          <w:lang w:eastAsia="zh-CN"/>
        </w:rPr>
        <w:t xml:space="preserve"> uitvoert, van de financiële omvang en de Nederlandse bijdragen</w:t>
      </w:r>
      <w:r>
        <w:rPr>
          <w:szCs w:val="18"/>
          <w:lang w:eastAsia="zh-CN"/>
        </w:rPr>
        <w:t>. Op basis van een analyse van de verschillende deelaspecten wordt een</w:t>
      </w:r>
      <w:r w:rsidRPr="00307981">
        <w:rPr>
          <w:szCs w:val="18"/>
          <w:lang w:eastAsia="zh-CN"/>
        </w:rPr>
        <w:t xml:space="preserve"> appreciatie </w:t>
      </w:r>
      <w:r>
        <w:rPr>
          <w:szCs w:val="18"/>
          <w:lang w:eastAsia="zh-CN"/>
        </w:rPr>
        <w:t xml:space="preserve">gegeven </w:t>
      </w:r>
      <w:r w:rsidRPr="00307981">
        <w:rPr>
          <w:szCs w:val="18"/>
          <w:lang w:eastAsia="zh-CN"/>
        </w:rPr>
        <w:t xml:space="preserve">van de </w:t>
      </w:r>
      <w:r w:rsidR="008735BA">
        <w:rPr>
          <w:szCs w:val="18"/>
          <w:lang w:eastAsia="zh-CN"/>
        </w:rPr>
        <w:t xml:space="preserve">organisatorische </w:t>
      </w:r>
      <w:r w:rsidR="00AB5963">
        <w:rPr>
          <w:szCs w:val="18"/>
          <w:lang w:eastAsia="zh-CN"/>
        </w:rPr>
        <w:t>effectiviteit</w:t>
      </w:r>
      <w:r w:rsidRPr="00307981">
        <w:rPr>
          <w:szCs w:val="18"/>
          <w:lang w:eastAsia="zh-CN"/>
        </w:rPr>
        <w:t xml:space="preserve"> en van de relevantie </w:t>
      </w:r>
      <w:r w:rsidR="00456A79">
        <w:rPr>
          <w:szCs w:val="18"/>
          <w:lang w:eastAsia="zh-CN"/>
        </w:rPr>
        <w:t xml:space="preserve">voor </w:t>
      </w:r>
      <w:r w:rsidRPr="00307981">
        <w:rPr>
          <w:szCs w:val="18"/>
          <w:lang w:eastAsia="zh-CN"/>
        </w:rPr>
        <w:t>de Nederlandse beleidsdoelstellingen.</w:t>
      </w:r>
      <w:r w:rsidR="005D3322">
        <w:rPr>
          <w:szCs w:val="18"/>
          <w:lang w:eastAsia="zh-CN"/>
        </w:rPr>
        <w:t xml:space="preserve"> </w:t>
      </w:r>
      <w:r w:rsidR="00F3652C">
        <w:rPr>
          <w:szCs w:val="18"/>
          <w:lang w:eastAsia="zh-CN"/>
        </w:rPr>
        <w:t xml:space="preserve">Er </w:t>
      </w:r>
      <w:r w:rsidR="00BB7ABD">
        <w:rPr>
          <w:szCs w:val="18"/>
          <w:lang w:eastAsia="zh-CN"/>
        </w:rPr>
        <w:t xml:space="preserve">wordt een appreciatie gegeven van de mate waarin organisaties voor het Nederlandse BHOS-beleid relevante resultaten behalen. </w:t>
      </w:r>
      <w:r w:rsidR="005D3322">
        <w:rPr>
          <w:szCs w:val="18"/>
          <w:lang w:eastAsia="zh-CN"/>
        </w:rPr>
        <w:t xml:space="preserve">Deelaspecten van effectiviteit worden beoordeeld op basis van specifieke criteria en gescoord op een </w:t>
      </w:r>
      <w:proofErr w:type="spellStart"/>
      <w:r w:rsidR="005D3322">
        <w:rPr>
          <w:szCs w:val="18"/>
          <w:lang w:eastAsia="zh-CN"/>
        </w:rPr>
        <w:t>vierpuntsschaal</w:t>
      </w:r>
      <w:proofErr w:type="spellEnd"/>
      <w:r w:rsidR="005D3322">
        <w:rPr>
          <w:szCs w:val="18"/>
          <w:lang w:eastAsia="zh-CN"/>
        </w:rPr>
        <w:t xml:space="preserve"> van onvoldoende, matig, voldoende en </w:t>
      </w:r>
      <w:r w:rsidR="0014161D">
        <w:rPr>
          <w:szCs w:val="18"/>
          <w:lang w:eastAsia="zh-CN"/>
        </w:rPr>
        <w:t>uitstekend</w:t>
      </w:r>
      <w:r w:rsidR="005D3322">
        <w:rPr>
          <w:szCs w:val="18"/>
          <w:lang w:eastAsia="zh-CN"/>
        </w:rPr>
        <w:t xml:space="preserve">. Daarnaast </w:t>
      </w:r>
      <w:r w:rsidR="0014161D">
        <w:rPr>
          <w:szCs w:val="18"/>
          <w:lang w:eastAsia="zh-CN"/>
        </w:rPr>
        <w:t>wordt aangegeven of de organisatie een positieve, een negatieve of een neutrale ontwikkeling heeft doorgemaakt sinds de scorecard 2015.</w:t>
      </w:r>
      <w:r w:rsidR="005D3322">
        <w:rPr>
          <w:szCs w:val="18"/>
          <w:lang w:eastAsia="zh-CN"/>
        </w:rPr>
        <w:t xml:space="preserve"> </w:t>
      </w:r>
      <w:r w:rsidR="00EE1DC0">
        <w:rPr>
          <w:szCs w:val="18"/>
          <w:lang w:eastAsia="zh-CN"/>
        </w:rPr>
        <w:t>Beleidsmatige r</w:t>
      </w:r>
      <w:r w:rsidR="005D3322">
        <w:rPr>
          <w:szCs w:val="18"/>
          <w:lang w:eastAsia="zh-CN"/>
        </w:rPr>
        <w:t xml:space="preserve">elevantie </w:t>
      </w:r>
      <w:r w:rsidR="00EE1DC0">
        <w:rPr>
          <w:szCs w:val="18"/>
          <w:lang w:eastAsia="zh-CN"/>
        </w:rPr>
        <w:t>en impact</w:t>
      </w:r>
      <w:r w:rsidR="00770864">
        <w:rPr>
          <w:szCs w:val="18"/>
          <w:lang w:eastAsia="zh-CN"/>
        </w:rPr>
        <w:t xml:space="preserve"> (resultaten)</w:t>
      </w:r>
      <w:r w:rsidR="00EE1DC0">
        <w:rPr>
          <w:szCs w:val="18"/>
          <w:lang w:eastAsia="zh-CN"/>
        </w:rPr>
        <w:t xml:space="preserve"> worden </w:t>
      </w:r>
      <w:r w:rsidR="005D3322">
        <w:rPr>
          <w:szCs w:val="18"/>
          <w:lang w:eastAsia="zh-CN"/>
        </w:rPr>
        <w:t>aangeduid met de kwalificaties relevant, beperkt relevant en niet relevant. Een samenvatting van al deze scores is te vind</w:t>
      </w:r>
      <w:r w:rsidR="005A463A">
        <w:rPr>
          <w:szCs w:val="18"/>
          <w:lang w:eastAsia="zh-CN"/>
        </w:rPr>
        <w:t>en in de tabellen in hoofdstuk 5</w:t>
      </w:r>
      <w:r w:rsidR="005D3322">
        <w:rPr>
          <w:szCs w:val="18"/>
          <w:lang w:eastAsia="zh-CN"/>
        </w:rPr>
        <w:t>.</w:t>
      </w:r>
    </w:p>
    <w:p w14:paraId="2D51ECF8" w14:textId="77777777" w:rsidR="005150FC" w:rsidRPr="00307981" w:rsidRDefault="005150FC" w:rsidP="005150FC">
      <w:pPr>
        <w:shd w:val="clear" w:color="auto" w:fill="FFFFFF"/>
        <w:spacing w:before="100" w:beforeAutospacing="1" w:after="100" w:afterAutospacing="1" w:line="240" w:lineRule="auto"/>
        <w:rPr>
          <w:szCs w:val="18"/>
          <w:lang w:eastAsia="zh-CN"/>
        </w:rPr>
      </w:pPr>
      <w:r w:rsidRPr="00307981">
        <w:rPr>
          <w:szCs w:val="18"/>
          <w:lang w:eastAsia="zh-CN"/>
        </w:rPr>
        <w:t xml:space="preserve">De scorecards </w:t>
      </w:r>
      <w:r>
        <w:rPr>
          <w:szCs w:val="18"/>
          <w:lang w:eastAsia="zh-CN"/>
        </w:rPr>
        <w:t>zijn</w:t>
      </w:r>
      <w:r w:rsidRPr="00307981">
        <w:rPr>
          <w:szCs w:val="18"/>
          <w:lang w:eastAsia="zh-CN"/>
        </w:rPr>
        <w:t xml:space="preserve"> samengesteld op basis van rapportages van de organisatie zelf, van de </w:t>
      </w:r>
      <w:r w:rsidRPr="00CA5BC9">
        <w:rPr>
          <w:i/>
          <w:szCs w:val="18"/>
          <w:lang w:eastAsia="zh-CN"/>
        </w:rPr>
        <w:t>Board of Auditors</w:t>
      </w:r>
      <w:r w:rsidRPr="00307981">
        <w:rPr>
          <w:szCs w:val="18"/>
          <w:lang w:eastAsia="zh-CN"/>
        </w:rPr>
        <w:t xml:space="preserve">, </w:t>
      </w:r>
      <w:r>
        <w:rPr>
          <w:szCs w:val="18"/>
          <w:lang w:eastAsia="zh-CN"/>
        </w:rPr>
        <w:t xml:space="preserve">interne en externe </w:t>
      </w:r>
      <w:r w:rsidRPr="00307981">
        <w:rPr>
          <w:szCs w:val="18"/>
          <w:lang w:eastAsia="zh-CN"/>
        </w:rPr>
        <w:t>evaluaties</w:t>
      </w:r>
      <w:r w:rsidR="00AC567F">
        <w:rPr>
          <w:szCs w:val="18"/>
          <w:lang w:eastAsia="zh-CN"/>
        </w:rPr>
        <w:t>,</w:t>
      </w:r>
      <w:r w:rsidRPr="00307981">
        <w:rPr>
          <w:szCs w:val="18"/>
          <w:lang w:eastAsia="zh-CN"/>
        </w:rPr>
        <w:t xml:space="preserve"> </w:t>
      </w:r>
      <w:r>
        <w:rPr>
          <w:szCs w:val="18"/>
          <w:lang w:eastAsia="zh-CN"/>
        </w:rPr>
        <w:t xml:space="preserve">beoordelingen door andere donoren en </w:t>
      </w:r>
      <w:r w:rsidRPr="00307981">
        <w:rPr>
          <w:szCs w:val="18"/>
          <w:lang w:eastAsia="zh-CN"/>
        </w:rPr>
        <w:t xml:space="preserve">van het </w:t>
      </w:r>
      <w:proofErr w:type="spellStart"/>
      <w:r w:rsidRPr="00AF36B0">
        <w:rPr>
          <w:i/>
          <w:szCs w:val="18"/>
          <w:lang w:eastAsia="zh-CN"/>
        </w:rPr>
        <w:t>Multilateral</w:t>
      </w:r>
      <w:proofErr w:type="spellEnd"/>
      <w:r w:rsidRPr="00AF36B0">
        <w:rPr>
          <w:i/>
          <w:szCs w:val="18"/>
          <w:lang w:eastAsia="zh-CN"/>
        </w:rPr>
        <w:t xml:space="preserve"> </w:t>
      </w:r>
      <w:proofErr w:type="spellStart"/>
      <w:r w:rsidRPr="00AF36B0">
        <w:rPr>
          <w:i/>
          <w:szCs w:val="18"/>
          <w:lang w:eastAsia="zh-CN"/>
        </w:rPr>
        <w:t>Organisations</w:t>
      </w:r>
      <w:proofErr w:type="spellEnd"/>
      <w:r w:rsidRPr="00AF36B0">
        <w:rPr>
          <w:i/>
          <w:szCs w:val="18"/>
          <w:lang w:eastAsia="zh-CN"/>
        </w:rPr>
        <w:t xml:space="preserve"> Performance Assessment Network</w:t>
      </w:r>
      <w:r w:rsidRPr="00307981">
        <w:rPr>
          <w:szCs w:val="18"/>
          <w:lang w:eastAsia="zh-CN"/>
        </w:rPr>
        <w:t xml:space="preserve"> (MOPAN)</w:t>
      </w:r>
      <w:r w:rsidR="00456C9B">
        <w:rPr>
          <w:szCs w:val="18"/>
          <w:lang w:eastAsia="zh-CN"/>
        </w:rPr>
        <w:t>.</w:t>
      </w:r>
      <w:r>
        <w:rPr>
          <w:rStyle w:val="FootnoteReference"/>
          <w:szCs w:val="18"/>
          <w:lang w:eastAsia="zh-CN"/>
        </w:rPr>
        <w:footnoteReference w:id="1"/>
      </w:r>
      <w:r>
        <w:rPr>
          <w:szCs w:val="18"/>
          <w:lang w:eastAsia="zh-CN"/>
        </w:rPr>
        <w:t xml:space="preserve"> </w:t>
      </w:r>
      <w:r w:rsidRPr="00307981">
        <w:rPr>
          <w:szCs w:val="18"/>
          <w:lang w:eastAsia="zh-CN"/>
        </w:rPr>
        <w:t xml:space="preserve">Daarnaast </w:t>
      </w:r>
      <w:r w:rsidR="000905CE">
        <w:rPr>
          <w:szCs w:val="18"/>
          <w:lang w:eastAsia="zh-CN"/>
        </w:rPr>
        <w:t xml:space="preserve">is </w:t>
      </w:r>
      <w:r w:rsidRPr="00307981">
        <w:rPr>
          <w:szCs w:val="18"/>
          <w:lang w:eastAsia="zh-CN"/>
        </w:rPr>
        <w:t>om de input gevraagd van betrokken vakdepartementen, de Permanente Vertegenwoordigingen</w:t>
      </w:r>
      <w:r>
        <w:rPr>
          <w:szCs w:val="18"/>
          <w:lang w:eastAsia="zh-CN"/>
        </w:rPr>
        <w:t xml:space="preserve"> en</w:t>
      </w:r>
      <w:r w:rsidRPr="00307981">
        <w:rPr>
          <w:szCs w:val="18"/>
          <w:lang w:eastAsia="zh-CN"/>
        </w:rPr>
        <w:t xml:space="preserve"> </w:t>
      </w:r>
      <w:proofErr w:type="spellStart"/>
      <w:r w:rsidRPr="00307981">
        <w:rPr>
          <w:szCs w:val="18"/>
          <w:lang w:eastAsia="zh-CN"/>
        </w:rPr>
        <w:t>Kiesgroepkantoren</w:t>
      </w:r>
      <w:proofErr w:type="spellEnd"/>
      <w:r w:rsidRPr="00307981">
        <w:rPr>
          <w:szCs w:val="18"/>
          <w:lang w:eastAsia="zh-CN"/>
        </w:rPr>
        <w:t xml:space="preserve">. Ook </w:t>
      </w:r>
      <w:r w:rsidR="004E60C0">
        <w:rPr>
          <w:szCs w:val="18"/>
          <w:lang w:eastAsia="zh-CN"/>
        </w:rPr>
        <w:t xml:space="preserve">informatie </w:t>
      </w:r>
      <w:r>
        <w:rPr>
          <w:szCs w:val="18"/>
          <w:lang w:eastAsia="zh-CN"/>
        </w:rPr>
        <w:t xml:space="preserve">van ambassades </w:t>
      </w:r>
      <w:r w:rsidRPr="00307981">
        <w:rPr>
          <w:szCs w:val="18"/>
          <w:lang w:eastAsia="zh-CN"/>
        </w:rPr>
        <w:t xml:space="preserve">over het functioneren van landenkantoren </w:t>
      </w:r>
      <w:r>
        <w:rPr>
          <w:szCs w:val="18"/>
          <w:lang w:eastAsia="zh-CN"/>
        </w:rPr>
        <w:t>van multilaterale instellingen zijn</w:t>
      </w:r>
      <w:r w:rsidRPr="00307981">
        <w:rPr>
          <w:szCs w:val="18"/>
          <w:lang w:eastAsia="zh-CN"/>
        </w:rPr>
        <w:t xml:space="preserve"> in de scorecard </w:t>
      </w:r>
      <w:r w:rsidR="00710978">
        <w:rPr>
          <w:szCs w:val="18"/>
          <w:lang w:eastAsia="zh-CN"/>
        </w:rPr>
        <w:t>verwerkt</w:t>
      </w:r>
      <w:r>
        <w:rPr>
          <w:szCs w:val="18"/>
          <w:lang w:eastAsia="zh-CN"/>
        </w:rPr>
        <w:t>.</w:t>
      </w:r>
      <w:r w:rsidRPr="00307981">
        <w:rPr>
          <w:szCs w:val="18"/>
          <w:lang w:eastAsia="zh-CN"/>
        </w:rPr>
        <w:t xml:space="preserve"> </w:t>
      </w:r>
      <w:r w:rsidR="00AC567F">
        <w:rPr>
          <w:szCs w:val="18"/>
          <w:lang w:eastAsia="zh-CN"/>
        </w:rPr>
        <w:t>De s</w:t>
      </w:r>
      <w:r w:rsidRPr="00307981">
        <w:rPr>
          <w:szCs w:val="18"/>
          <w:lang w:eastAsia="zh-CN"/>
        </w:rPr>
        <w:t xml:space="preserve">corecards </w:t>
      </w:r>
      <w:r>
        <w:rPr>
          <w:szCs w:val="18"/>
          <w:lang w:eastAsia="zh-CN"/>
        </w:rPr>
        <w:t xml:space="preserve">worden </w:t>
      </w:r>
      <w:r w:rsidR="002633CA">
        <w:rPr>
          <w:szCs w:val="18"/>
          <w:lang w:eastAsia="zh-CN"/>
        </w:rPr>
        <w:t xml:space="preserve">iedere twee jaar </w:t>
      </w:r>
      <w:r w:rsidRPr="00307981">
        <w:rPr>
          <w:szCs w:val="18"/>
          <w:lang w:eastAsia="zh-CN"/>
        </w:rPr>
        <w:t>geactualiseerd</w:t>
      </w:r>
      <w:r w:rsidR="002C77AF">
        <w:rPr>
          <w:szCs w:val="18"/>
          <w:lang w:eastAsia="zh-CN"/>
        </w:rPr>
        <w:t>.</w:t>
      </w:r>
      <w:r w:rsidRPr="00307981">
        <w:rPr>
          <w:szCs w:val="18"/>
          <w:lang w:eastAsia="zh-CN"/>
        </w:rPr>
        <w:t xml:space="preserve"> </w:t>
      </w:r>
    </w:p>
    <w:p w14:paraId="2D51ECF9" w14:textId="77777777" w:rsidR="00307981" w:rsidRDefault="00307981" w:rsidP="00307981"/>
    <w:p w14:paraId="2D51ECFA" w14:textId="77777777" w:rsidR="00895FE6" w:rsidRDefault="00895FE6" w:rsidP="00307981"/>
    <w:p w14:paraId="2D51ECFB" w14:textId="77777777" w:rsidR="00895FE6" w:rsidRDefault="00895FE6">
      <w:pPr>
        <w:spacing w:line="240" w:lineRule="auto"/>
      </w:pPr>
      <w:r>
        <w:br w:type="page"/>
      </w:r>
    </w:p>
    <w:p w14:paraId="2D51ED52" w14:textId="77777777" w:rsidR="00D745A7" w:rsidRDefault="00D745A7" w:rsidP="004C56D9">
      <w:pPr>
        <w:pStyle w:val="Heading1"/>
        <w:numPr>
          <w:ilvl w:val="0"/>
          <w:numId w:val="9"/>
        </w:numPr>
        <w:spacing w:after="240" w:line="240" w:lineRule="auto"/>
        <w:ind w:left="0" w:hanging="1134"/>
      </w:pPr>
      <w:bookmarkStart w:id="22" w:name="_Toc491260345"/>
      <w:r>
        <w:lastRenderedPageBreak/>
        <w:t>Algemene achtergrond</w:t>
      </w:r>
      <w:bookmarkEnd w:id="22"/>
    </w:p>
    <w:p w14:paraId="2D51ED54" w14:textId="27C99BF6" w:rsidR="009C4AAC" w:rsidRPr="009C4AAC" w:rsidRDefault="00344A07" w:rsidP="00A7493F">
      <w:pPr>
        <w:pStyle w:val="Heading2"/>
        <w:tabs>
          <w:tab w:val="left" w:pos="-1162"/>
          <w:tab w:val="left" w:pos="0"/>
        </w:tabs>
        <w:spacing w:line="240" w:lineRule="auto"/>
        <w:ind w:left="-1162"/>
      </w:pPr>
      <w:bookmarkStart w:id="23" w:name="_Toc491260346"/>
      <w:r>
        <w:t>3.1</w:t>
      </w:r>
      <w:r>
        <w:tab/>
      </w:r>
      <w:r w:rsidR="0055776D">
        <w:t>Doelstelling</w:t>
      </w:r>
      <w:r w:rsidR="00FC6EC6">
        <w:t xml:space="preserve"> en toegevoegde waarde</w:t>
      </w:r>
      <w:bookmarkEnd w:id="23"/>
    </w:p>
    <w:p w14:paraId="2D51ED55" w14:textId="64B4A54C" w:rsidR="006A1D74" w:rsidRDefault="00EC644A" w:rsidP="00AE5230">
      <w:r w:rsidRPr="00A855F9">
        <w:t xml:space="preserve">Het </w:t>
      </w:r>
      <w:r w:rsidRPr="000D0473">
        <w:rPr>
          <w:i/>
        </w:rPr>
        <w:t xml:space="preserve">United Nations World Food </w:t>
      </w:r>
      <w:proofErr w:type="spellStart"/>
      <w:r w:rsidRPr="000D0473">
        <w:rPr>
          <w:i/>
        </w:rPr>
        <w:t>Programme</w:t>
      </w:r>
      <w:proofErr w:type="spellEnd"/>
      <w:r w:rsidRPr="00A855F9">
        <w:t xml:space="preserve"> (WFP) is in 1961 </w:t>
      </w:r>
      <w:r>
        <w:t xml:space="preserve">als </w:t>
      </w:r>
      <w:r w:rsidR="00EA3C7D">
        <w:t xml:space="preserve">de operationele </w:t>
      </w:r>
      <w:r w:rsidRPr="00A855F9">
        <w:t>voedselhulp</w:t>
      </w:r>
      <w:r w:rsidR="00EA3C7D">
        <w:t xml:space="preserve"> arm van de Verenigde Naties (VN) </w:t>
      </w:r>
      <w:r w:rsidRPr="00A855F9">
        <w:t xml:space="preserve">opgericht door de </w:t>
      </w:r>
      <w:r>
        <w:rPr>
          <w:i/>
        </w:rPr>
        <w:t xml:space="preserve">Food </w:t>
      </w:r>
      <w:proofErr w:type="spellStart"/>
      <w:r>
        <w:rPr>
          <w:i/>
        </w:rPr>
        <w:t>and</w:t>
      </w:r>
      <w:proofErr w:type="spellEnd"/>
      <w:r>
        <w:rPr>
          <w:i/>
        </w:rPr>
        <w:t xml:space="preserve"> </w:t>
      </w:r>
      <w:proofErr w:type="spellStart"/>
      <w:r>
        <w:rPr>
          <w:i/>
        </w:rPr>
        <w:t>Agriculture</w:t>
      </w:r>
      <w:proofErr w:type="spellEnd"/>
      <w:r>
        <w:rPr>
          <w:i/>
        </w:rPr>
        <w:t xml:space="preserve"> </w:t>
      </w:r>
      <w:proofErr w:type="spellStart"/>
      <w:r>
        <w:rPr>
          <w:i/>
        </w:rPr>
        <w:t>Organiz</w:t>
      </w:r>
      <w:r w:rsidRPr="00A855F9">
        <w:rPr>
          <w:i/>
        </w:rPr>
        <w:t>ation</w:t>
      </w:r>
      <w:proofErr w:type="spellEnd"/>
      <w:r w:rsidRPr="00A855F9">
        <w:t xml:space="preserve"> (FAO) en de </w:t>
      </w:r>
      <w:r w:rsidR="00EA3C7D" w:rsidRPr="00E55E9C">
        <w:rPr>
          <w:i/>
        </w:rPr>
        <w:t>General Assembl</w:t>
      </w:r>
      <w:r w:rsidR="00EA3C7D">
        <w:t xml:space="preserve">y. </w:t>
      </w:r>
      <w:r>
        <w:t>WFP</w:t>
      </w:r>
      <w:r w:rsidRPr="00A855F9">
        <w:t xml:space="preserve"> heeft het mandaat om voedsel te verstrekken in noodsituaties, voedselhulp in te zetten ter ondersteuning van economische en sociale ontwikkeling, en het leveren van een bijdrage aan de internationale voedselzekerheid</w:t>
      </w:r>
      <w:r>
        <w:t xml:space="preserve"> en kwaliteit van voeding</w:t>
      </w:r>
      <w:r w:rsidR="00FD2CA3">
        <w:t>.</w:t>
      </w:r>
      <w:r>
        <w:t xml:space="preserve"> </w:t>
      </w:r>
      <w:r w:rsidR="002F7478">
        <w:t xml:space="preserve">Binnen de brede </w:t>
      </w:r>
      <w:r w:rsidR="00A7493F">
        <w:t>Duurzame Ontwikkelingsdoelen (</w:t>
      </w:r>
      <w:proofErr w:type="spellStart"/>
      <w:r w:rsidR="00A7493F">
        <w:t>SDG</w:t>
      </w:r>
      <w:r w:rsidR="000D0473">
        <w:t>’</w:t>
      </w:r>
      <w:r w:rsidR="00A7493F">
        <w:t>s</w:t>
      </w:r>
      <w:proofErr w:type="spellEnd"/>
      <w:r w:rsidR="00A7493F">
        <w:t>)</w:t>
      </w:r>
      <w:r w:rsidR="002F7478">
        <w:t xml:space="preserve"> agenda ligt de focus op SDG 2 (</w:t>
      </w:r>
      <w:proofErr w:type="spellStart"/>
      <w:r w:rsidR="002F7478" w:rsidRPr="00E55E9C">
        <w:rPr>
          <w:i/>
        </w:rPr>
        <w:t>Achieving</w:t>
      </w:r>
      <w:proofErr w:type="spellEnd"/>
      <w:r w:rsidR="002F7478" w:rsidRPr="00E55E9C">
        <w:rPr>
          <w:i/>
        </w:rPr>
        <w:t xml:space="preserve"> Zero Hunger</w:t>
      </w:r>
      <w:r w:rsidR="002F7478">
        <w:t>) en 17 (</w:t>
      </w:r>
      <w:r w:rsidR="002F7478" w:rsidRPr="00E55E9C">
        <w:rPr>
          <w:i/>
        </w:rPr>
        <w:t xml:space="preserve">Partner </w:t>
      </w:r>
      <w:proofErr w:type="spellStart"/>
      <w:r w:rsidR="002F7478" w:rsidRPr="00E55E9C">
        <w:rPr>
          <w:i/>
        </w:rPr>
        <w:t>to</w:t>
      </w:r>
      <w:proofErr w:type="spellEnd"/>
      <w:r w:rsidR="002F7478" w:rsidRPr="00E55E9C">
        <w:rPr>
          <w:i/>
        </w:rPr>
        <w:t xml:space="preserve"> support </w:t>
      </w:r>
      <w:proofErr w:type="spellStart"/>
      <w:r w:rsidR="002F7478" w:rsidRPr="00E55E9C">
        <w:rPr>
          <w:i/>
        </w:rPr>
        <w:t>the</w:t>
      </w:r>
      <w:proofErr w:type="spellEnd"/>
      <w:r w:rsidR="002F7478" w:rsidRPr="00E55E9C">
        <w:rPr>
          <w:i/>
        </w:rPr>
        <w:t xml:space="preserve"> </w:t>
      </w:r>
      <w:proofErr w:type="spellStart"/>
      <w:r w:rsidR="002F7478" w:rsidRPr="00E55E9C">
        <w:rPr>
          <w:i/>
        </w:rPr>
        <w:t>implementation</w:t>
      </w:r>
      <w:proofErr w:type="spellEnd"/>
      <w:r w:rsidR="002F7478" w:rsidRPr="00E55E9C">
        <w:rPr>
          <w:i/>
        </w:rPr>
        <w:t xml:space="preserve"> of </w:t>
      </w:r>
      <w:proofErr w:type="spellStart"/>
      <w:r w:rsidR="002F7478" w:rsidRPr="00E55E9C">
        <w:rPr>
          <w:i/>
        </w:rPr>
        <w:t>the</w:t>
      </w:r>
      <w:proofErr w:type="spellEnd"/>
      <w:r w:rsidR="002F7478" w:rsidRPr="00E55E9C">
        <w:rPr>
          <w:i/>
        </w:rPr>
        <w:t xml:space="preserve"> </w:t>
      </w:r>
      <w:proofErr w:type="spellStart"/>
      <w:r w:rsidR="002F7478" w:rsidRPr="00E55E9C">
        <w:rPr>
          <w:i/>
        </w:rPr>
        <w:t>SDGs</w:t>
      </w:r>
      <w:proofErr w:type="spellEnd"/>
      <w:r w:rsidR="002F7478">
        <w:t xml:space="preserve">). </w:t>
      </w:r>
      <w:r w:rsidRPr="004C58AB">
        <w:t>WFP is de grootste noodhulporganisatie van de VN en verwacht in 201</w:t>
      </w:r>
      <w:r>
        <w:t>7</w:t>
      </w:r>
      <w:r w:rsidRPr="004C58AB">
        <w:t xml:space="preserve"> met een </w:t>
      </w:r>
      <w:r w:rsidR="00EA3C7D">
        <w:t>inkomen van USD 5,5</w:t>
      </w:r>
      <w:r w:rsidRPr="004C58AB">
        <w:t xml:space="preserve"> miljard</w:t>
      </w:r>
      <w:r w:rsidR="00A7493F">
        <w:t xml:space="preserve">, </w:t>
      </w:r>
      <w:r w:rsidR="00EA3C7D">
        <w:t>16,5</w:t>
      </w:r>
      <w:r w:rsidRPr="004C58AB">
        <w:t xml:space="preserve"> miljard voedselrantsoenen te ku</w:t>
      </w:r>
      <w:r w:rsidR="00EA3C7D">
        <w:t>nnen verstrekken aan ongeveer 68</w:t>
      </w:r>
      <w:r w:rsidRPr="004C58AB">
        <w:t xml:space="preserve"> miljoen </w:t>
      </w:r>
      <w:r w:rsidR="000D0473" w:rsidRPr="004C58AB">
        <w:t>hulpbehoevenden.</w:t>
      </w:r>
      <w:r w:rsidR="000D0473">
        <w:t xml:space="preserve"> Hiervan</w:t>
      </w:r>
      <w:r w:rsidR="00EA3C7D">
        <w:t xml:space="preserve"> word</w:t>
      </w:r>
      <w:r w:rsidR="00DF63F2">
        <w:t>t een (groeiend) deel</w:t>
      </w:r>
      <w:r w:rsidR="00EA3C7D">
        <w:t xml:space="preserve"> verstrekt via </w:t>
      </w:r>
      <w:r w:rsidR="00EA3C7D" w:rsidRPr="00E55E9C">
        <w:rPr>
          <w:i/>
        </w:rPr>
        <w:t>Cash-</w:t>
      </w:r>
      <w:proofErr w:type="spellStart"/>
      <w:r w:rsidR="00EA3C7D" w:rsidRPr="00E55E9C">
        <w:rPr>
          <w:i/>
        </w:rPr>
        <w:t>Based</w:t>
      </w:r>
      <w:proofErr w:type="spellEnd"/>
      <w:r w:rsidR="00EA3C7D" w:rsidRPr="00E55E9C">
        <w:rPr>
          <w:i/>
        </w:rPr>
        <w:t xml:space="preserve"> Transfers</w:t>
      </w:r>
      <w:r w:rsidR="00EA3C7D">
        <w:t xml:space="preserve">. </w:t>
      </w:r>
      <w:r w:rsidRPr="004C58AB">
        <w:t xml:space="preserve">WFP </w:t>
      </w:r>
      <w:r w:rsidR="00EA3C7D">
        <w:t xml:space="preserve">staat hoog aangeschreven </w:t>
      </w:r>
      <w:r w:rsidRPr="004C58AB">
        <w:t>voor het vermogen om in humanitaire noodsituaties snel ter plaatse te zijn en een omvangrijke operatie uit te voeren.</w:t>
      </w:r>
      <w:r>
        <w:t xml:space="preserve"> WFP leidt samen met FAO het VN-voedselzekerheidscluster en heeft daarin een coördinerende en (met name) uitvoerende rol. Daarnaast heeft WFP binnen het VN-systeem een coördinerende rol op het gebied van logistiek in humanitaire noodsituaties. </w:t>
      </w:r>
      <w:r w:rsidR="00835F69">
        <w:t xml:space="preserve">Een recent voorbeeld hiervan is de </w:t>
      </w:r>
      <w:r>
        <w:t xml:space="preserve">verantwoordelijkheid </w:t>
      </w:r>
      <w:r w:rsidR="00835F69">
        <w:t xml:space="preserve">die WFP had in 2015 </w:t>
      </w:r>
      <w:r>
        <w:t xml:space="preserve">voor de VN-brede logistiek </w:t>
      </w:r>
      <w:r w:rsidR="00835F69">
        <w:t xml:space="preserve">ten behoeve van </w:t>
      </w:r>
      <w:r>
        <w:t>de ebola-respons in West-Afrika.</w:t>
      </w:r>
    </w:p>
    <w:p w14:paraId="01363E90" w14:textId="77777777" w:rsidR="00D223FF" w:rsidRPr="00DA298C" w:rsidRDefault="00D223FF" w:rsidP="00AE5230"/>
    <w:p w14:paraId="2D51ED56" w14:textId="77777777" w:rsidR="00344A07" w:rsidRPr="00344A07" w:rsidRDefault="00344A07" w:rsidP="004C56D9">
      <w:pPr>
        <w:pStyle w:val="ListParagraph"/>
        <w:keepNext/>
        <w:widowControl w:val="0"/>
        <w:numPr>
          <w:ilvl w:val="0"/>
          <w:numId w:val="8"/>
        </w:numPr>
        <w:tabs>
          <w:tab w:val="left" w:pos="-1162"/>
          <w:tab w:val="left" w:pos="0"/>
        </w:tabs>
        <w:spacing w:before="200" w:line="240" w:lineRule="auto"/>
        <w:outlineLvl w:val="1"/>
        <w:rPr>
          <w:rFonts w:cs="Arial"/>
          <w:b/>
          <w:iCs/>
          <w:vanish/>
          <w:kern w:val="32"/>
          <w:szCs w:val="28"/>
        </w:rPr>
      </w:pPr>
    </w:p>
    <w:p w14:paraId="2D51ED57" w14:textId="77777777" w:rsidR="00344A07" w:rsidRPr="00344A07" w:rsidRDefault="00344A07" w:rsidP="004C56D9">
      <w:pPr>
        <w:pStyle w:val="ListParagraph"/>
        <w:keepNext/>
        <w:widowControl w:val="0"/>
        <w:numPr>
          <w:ilvl w:val="0"/>
          <w:numId w:val="8"/>
        </w:numPr>
        <w:tabs>
          <w:tab w:val="left" w:pos="-1162"/>
          <w:tab w:val="left" w:pos="0"/>
        </w:tabs>
        <w:spacing w:before="200" w:line="240" w:lineRule="auto"/>
        <w:outlineLvl w:val="1"/>
        <w:rPr>
          <w:rFonts w:cs="Arial"/>
          <w:b/>
          <w:iCs/>
          <w:vanish/>
          <w:kern w:val="32"/>
          <w:szCs w:val="28"/>
        </w:rPr>
      </w:pPr>
    </w:p>
    <w:p w14:paraId="2D51ED58" w14:textId="77777777" w:rsidR="00344A07" w:rsidRPr="00344A07" w:rsidRDefault="00344A07" w:rsidP="004C56D9">
      <w:pPr>
        <w:pStyle w:val="ListParagraph"/>
        <w:keepNext/>
        <w:widowControl w:val="0"/>
        <w:numPr>
          <w:ilvl w:val="1"/>
          <w:numId w:val="8"/>
        </w:numPr>
        <w:tabs>
          <w:tab w:val="left" w:pos="-1162"/>
          <w:tab w:val="left" w:pos="0"/>
        </w:tabs>
        <w:spacing w:before="200" w:line="240" w:lineRule="auto"/>
        <w:outlineLvl w:val="1"/>
        <w:rPr>
          <w:rFonts w:cs="Arial"/>
          <w:b/>
          <w:iCs/>
          <w:vanish/>
          <w:kern w:val="32"/>
          <w:szCs w:val="28"/>
        </w:rPr>
      </w:pPr>
    </w:p>
    <w:p w14:paraId="2D51ED59" w14:textId="77777777" w:rsidR="00D745A7" w:rsidRDefault="00D745A7" w:rsidP="004C56D9">
      <w:pPr>
        <w:pStyle w:val="Heading2"/>
        <w:numPr>
          <w:ilvl w:val="1"/>
          <w:numId w:val="8"/>
        </w:numPr>
        <w:tabs>
          <w:tab w:val="left" w:pos="-1162"/>
          <w:tab w:val="left" w:pos="0"/>
        </w:tabs>
        <w:spacing w:line="240" w:lineRule="auto"/>
        <w:ind w:left="0" w:hanging="1134"/>
      </w:pPr>
      <w:bookmarkStart w:id="24" w:name="_Toc491260347"/>
      <w:r>
        <w:t>Organisatie, werkwijze en activiteiten</w:t>
      </w:r>
      <w:bookmarkEnd w:id="24"/>
    </w:p>
    <w:p w14:paraId="2D51ED5B" w14:textId="066C0A08" w:rsidR="002511A6" w:rsidRDefault="002511A6" w:rsidP="002511A6">
      <w:r>
        <w:t xml:space="preserve">WFP </w:t>
      </w:r>
      <w:r w:rsidR="00C852C7">
        <w:t xml:space="preserve">beslaat </w:t>
      </w:r>
      <w:r>
        <w:t>met haar brede mandaat</w:t>
      </w:r>
      <w:r w:rsidR="000D0473">
        <w:t xml:space="preserve"> </w:t>
      </w:r>
      <w:r>
        <w:t>het gehele spectrum</w:t>
      </w:r>
      <w:r w:rsidR="006C10EA">
        <w:t xml:space="preserve"> van </w:t>
      </w:r>
      <w:r w:rsidR="00C852C7">
        <w:t xml:space="preserve">ontwikkeling: van </w:t>
      </w:r>
      <w:r w:rsidR="006C10EA">
        <w:t xml:space="preserve">noodhulp, naar wederopbouw en weerbaarheid </w:t>
      </w:r>
      <w:r>
        <w:t>en de daaropvolgende ontwikkelingsfase.</w:t>
      </w:r>
      <w:r w:rsidRPr="00E14278">
        <w:t xml:space="preserve"> De activiteiten van WFP worden </w:t>
      </w:r>
      <w:r>
        <w:t xml:space="preserve">formeel ook in deze categorieën </w:t>
      </w:r>
      <w:r w:rsidRPr="00E14278">
        <w:t xml:space="preserve">onderverdeeld </w:t>
      </w:r>
      <w:r>
        <w:t xml:space="preserve">met daaraan toegevoegd de </w:t>
      </w:r>
      <w:r w:rsidRPr="00E14278">
        <w:t>speciale operaties. De</w:t>
      </w:r>
      <w:r w:rsidR="00C852C7">
        <w:t>ze</w:t>
      </w:r>
      <w:r w:rsidRPr="00E14278">
        <w:t xml:space="preserve"> laatste categorie bevat aanvullende logistieke ondersteuning bij humanitaire noodsituaties. </w:t>
      </w:r>
      <w:r>
        <w:t>De</w:t>
      </w:r>
      <w:r w:rsidR="0079722B">
        <w:t xml:space="preserve"> verschillende</w:t>
      </w:r>
      <w:r>
        <w:t xml:space="preserve"> activiteiten </w:t>
      </w:r>
      <w:r w:rsidR="0079722B">
        <w:t xml:space="preserve">per land </w:t>
      </w:r>
      <w:r>
        <w:t>zullen v</w:t>
      </w:r>
      <w:r w:rsidR="006C10EA">
        <w:t xml:space="preserve">anaf 2017 worden ondergebracht </w:t>
      </w:r>
      <w:r w:rsidR="0079722B">
        <w:t xml:space="preserve">in meerjarige </w:t>
      </w:r>
      <w:r w:rsidR="0079722B" w:rsidRPr="00E55E9C">
        <w:rPr>
          <w:i/>
        </w:rPr>
        <w:t xml:space="preserve">Country Strategic </w:t>
      </w:r>
      <w:proofErr w:type="spellStart"/>
      <w:r w:rsidR="0079722B" w:rsidRPr="00E55E9C">
        <w:rPr>
          <w:i/>
        </w:rPr>
        <w:t>Plans</w:t>
      </w:r>
      <w:proofErr w:type="spellEnd"/>
      <w:r w:rsidR="0079722B">
        <w:t xml:space="preserve"> (</w:t>
      </w:r>
      <w:proofErr w:type="spellStart"/>
      <w:r w:rsidR="0079722B">
        <w:t>CSP</w:t>
      </w:r>
      <w:r w:rsidR="000D0473">
        <w:t>’</w:t>
      </w:r>
      <w:r w:rsidR="0079722B">
        <w:t>s</w:t>
      </w:r>
      <w:proofErr w:type="spellEnd"/>
      <w:r w:rsidR="0079722B">
        <w:t xml:space="preserve">). Deze </w:t>
      </w:r>
      <w:proofErr w:type="spellStart"/>
      <w:r w:rsidR="0079722B">
        <w:t>CSP</w:t>
      </w:r>
      <w:r w:rsidR="000D0473">
        <w:t>’</w:t>
      </w:r>
      <w:r w:rsidR="0079722B">
        <w:t>s</w:t>
      </w:r>
      <w:proofErr w:type="spellEnd"/>
      <w:r w:rsidR="0079722B">
        <w:t xml:space="preserve"> worden door de Uitvoerende Raad goedgekeurd</w:t>
      </w:r>
      <w:r w:rsidR="00936657">
        <w:t xml:space="preserve"> en </w:t>
      </w:r>
      <w:r w:rsidR="006C10EA">
        <w:t>zullen nog steeds onderscheid aangeven in drie activiteiten</w:t>
      </w:r>
      <w:r w:rsidR="00936657">
        <w:t>categorieën</w:t>
      </w:r>
      <w:r w:rsidR="006C10EA">
        <w:t xml:space="preserve">: noodhulp, weerbaarheid en ontwikkeling. </w:t>
      </w:r>
      <w:r w:rsidRPr="00E14278">
        <w:t xml:space="preserve">De </w:t>
      </w:r>
      <w:r w:rsidR="0079722B">
        <w:t xml:space="preserve">pure </w:t>
      </w:r>
      <w:r w:rsidRPr="00E14278">
        <w:t xml:space="preserve">noodhulpactiviteiten </w:t>
      </w:r>
      <w:r w:rsidR="0079722B">
        <w:t>worden ook ondergebracht in d</w:t>
      </w:r>
      <w:r w:rsidRPr="00E14278">
        <w:t xml:space="preserve">e </w:t>
      </w:r>
      <w:proofErr w:type="spellStart"/>
      <w:r w:rsidRPr="00E14278">
        <w:rPr>
          <w:i/>
        </w:rPr>
        <w:t>Consolidated</w:t>
      </w:r>
      <w:proofErr w:type="spellEnd"/>
      <w:r w:rsidRPr="00E14278">
        <w:rPr>
          <w:i/>
        </w:rPr>
        <w:t xml:space="preserve"> </w:t>
      </w:r>
      <w:proofErr w:type="spellStart"/>
      <w:r w:rsidRPr="00E14278">
        <w:rPr>
          <w:i/>
        </w:rPr>
        <w:t>Appeals</w:t>
      </w:r>
      <w:proofErr w:type="spellEnd"/>
      <w:r w:rsidRPr="00E14278">
        <w:t>, waarbij humanitaire organisaties onder leiding van het</w:t>
      </w:r>
      <w:r>
        <w:t xml:space="preserve"> VN</w:t>
      </w:r>
      <w:r w:rsidRPr="00E14278">
        <w:t xml:space="preserve"> </w:t>
      </w:r>
      <w:r w:rsidRPr="00E14278">
        <w:rPr>
          <w:i/>
        </w:rPr>
        <w:t xml:space="preserve">Office For </w:t>
      </w:r>
      <w:proofErr w:type="spellStart"/>
      <w:r w:rsidRPr="00E14278">
        <w:rPr>
          <w:i/>
        </w:rPr>
        <w:t>the</w:t>
      </w:r>
      <w:proofErr w:type="spellEnd"/>
      <w:r w:rsidRPr="00E14278">
        <w:rPr>
          <w:i/>
        </w:rPr>
        <w:t xml:space="preserve"> </w:t>
      </w:r>
      <w:proofErr w:type="spellStart"/>
      <w:r w:rsidRPr="00E14278">
        <w:rPr>
          <w:i/>
        </w:rPr>
        <w:t>Coordination</w:t>
      </w:r>
      <w:proofErr w:type="spellEnd"/>
      <w:r w:rsidRPr="00E14278">
        <w:rPr>
          <w:i/>
        </w:rPr>
        <w:t xml:space="preserve"> of </w:t>
      </w:r>
      <w:proofErr w:type="spellStart"/>
      <w:r w:rsidRPr="00E14278">
        <w:rPr>
          <w:i/>
        </w:rPr>
        <w:t>Humanitarian</w:t>
      </w:r>
      <w:proofErr w:type="spellEnd"/>
      <w:r w:rsidRPr="00E14278">
        <w:rPr>
          <w:i/>
        </w:rPr>
        <w:t xml:space="preserve"> </w:t>
      </w:r>
      <w:proofErr w:type="spellStart"/>
      <w:r w:rsidRPr="00E14278">
        <w:rPr>
          <w:i/>
        </w:rPr>
        <w:t>Affairs</w:t>
      </w:r>
      <w:proofErr w:type="spellEnd"/>
      <w:r w:rsidRPr="00E14278">
        <w:t xml:space="preserve"> (OCHA) middels een gezamenlijk document </w:t>
      </w:r>
      <w:r w:rsidR="008B67EB">
        <w:t>de</w:t>
      </w:r>
      <w:r w:rsidRPr="00E14278">
        <w:t xml:space="preserve"> </w:t>
      </w:r>
      <w:r w:rsidR="0079722B">
        <w:t xml:space="preserve">financieringsbehoeften </w:t>
      </w:r>
      <w:r>
        <w:t xml:space="preserve">kenbaar maken. </w:t>
      </w:r>
      <w:r w:rsidR="00E55E9C">
        <w:t>Voor 2017 is de verwachting dat zo’n 95</w:t>
      </w:r>
      <w:r w:rsidRPr="00A959B1">
        <w:t xml:space="preserve">% van </w:t>
      </w:r>
      <w:r>
        <w:t>de verwachte inkomsten</w:t>
      </w:r>
      <w:r w:rsidRPr="00A959B1">
        <w:t xml:space="preserve"> </w:t>
      </w:r>
      <w:r w:rsidR="00E55E9C">
        <w:t xml:space="preserve">zullen worden </w:t>
      </w:r>
      <w:r w:rsidRPr="00A959B1">
        <w:t>besteed aan noodhulp en wederopbouw</w:t>
      </w:r>
      <w:r>
        <w:t>-</w:t>
      </w:r>
      <w:r w:rsidRPr="00A959B1">
        <w:t xml:space="preserve">activiteiten, terwijl ongeveer </w:t>
      </w:r>
      <w:r w:rsidR="00E55E9C">
        <w:t>5</w:t>
      </w:r>
      <w:r w:rsidRPr="00A959B1">
        <w:t>% wordt besteed aan meer structurele ontwikkelingsactiviteiten</w:t>
      </w:r>
      <w:r w:rsidR="00E55E9C">
        <w:t>.</w:t>
      </w:r>
    </w:p>
    <w:p w14:paraId="2D51ED5C" w14:textId="77777777" w:rsidR="002511A6" w:rsidRPr="00166F0B" w:rsidRDefault="002511A6" w:rsidP="002511A6"/>
    <w:p w14:paraId="2D51ED5D" w14:textId="6927BD92" w:rsidR="002511A6" w:rsidRDefault="002511A6" w:rsidP="002511A6">
      <w:r w:rsidRPr="004C58AB">
        <w:t>WFP wordt bestuurd door de Uitvoerende Raad</w:t>
      </w:r>
      <w:r w:rsidR="003F6E3E">
        <w:t xml:space="preserve"> (UR)</w:t>
      </w:r>
      <w:r w:rsidRPr="004C58AB">
        <w:t xml:space="preserve">, die drie keer per jaar </w:t>
      </w:r>
      <w:r w:rsidR="000D0473" w:rsidRPr="004C58AB">
        <w:t>bijeenkomt</w:t>
      </w:r>
      <w:r w:rsidRPr="004C58AB">
        <w:t xml:space="preserve"> en uit 36 </w:t>
      </w:r>
      <w:r w:rsidR="008B67EB">
        <w:t xml:space="preserve">roterende </w:t>
      </w:r>
      <w:r w:rsidRPr="004C58AB">
        <w:t xml:space="preserve">leden bestaat. </w:t>
      </w:r>
      <w:r w:rsidR="008B67EB">
        <w:t xml:space="preserve">Dit zijn zowel donor als ontvangende landen. </w:t>
      </w:r>
      <w:r w:rsidRPr="004C58AB">
        <w:t>De U</w:t>
      </w:r>
      <w:r w:rsidR="003F6E3E">
        <w:t>R</w:t>
      </w:r>
      <w:r w:rsidRPr="004C58AB">
        <w:t xml:space="preserve"> ziet onder andere toe op het management en het beoordelen van beleid, budgetten en programma’s. Het management van WFP </w:t>
      </w:r>
      <w:r w:rsidR="008B67EB">
        <w:t xml:space="preserve">wordt geleid door een Uitvoerend Directeur. Van </w:t>
      </w:r>
      <w:r w:rsidR="006C10EA">
        <w:t xml:space="preserve">2012 tot </w:t>
      </w:r>
      <w:r w:rsidRPr="004C58AB">
        <w:t>201</w:t>
      </w:r>
      <w:r w:rsidR="006C10EA">
        <w:t>7</w:t>
      </w:r>
      <w:r w:rsidRPr="004C58AB">
        <w:t xml:space="preserve"> </w:t>
      </w:r>
      <w:r w:rsidR="008B67EB">
        <w:t xml:space="preserve">was dit </w:t>
      </w:r>
      <w:r>
        <w:t xml:space="preserve">de Amerikaanse </w:t>
      </w:r>
      <w:proofErr w:type="spellStart"/>
      <w:r>
        <w:t>Ertharin</w:t>
      </w:r>
      <w:proofErr w:type="spellEnd"/>
      <w:r>
        <w:t xml:space="preserve"> </w:t>
      </w:r>
      <w:proofErr w:type="spellStart"/>
      <w:r>
        <w:t>Cousin</w:t>
      </w:r>
      <w:proofErr w:type="spellEnd"/>
      <w:r>
        <w:t xml:space="preserve">. </w:t>
      </w:r>
      <w:r w:rsidR="006C10EA">
        <w:t xml:space="preserve">Per april 2017 </w:t>
      </w:r>
      <w:r w:rsidR="008D1BC6">
        <w:t>is</w:t>
      </w:r>
      <w:r w:rsidR="006C10EA">
        <w:t xml:space="preserve"> zij opgevolgd door de Amerikaan David </w:t>
      </w:r>
      <w:proofErr w:type="spellStart"/>
      <w:r w:rsidR="006C10EA">
        <w:t>Beasley</w:t>
      </w:r>
      <w:proofErr w:type="spellEnd"/>
      <w:r w:rsidR="006C10EA">
        <w:t xml:space="preserve">. </w:t>
      </w:r>
      <w:r>
        <w:t>D</w:t>
      </w:r>
      <w:r w:rsidRPr="004C58AB">
        <w:t xml:space="preserve">e Uitvoerend Directeur wordt </w:t>
      </w:r>
      <w:r w:rsidR="004C1E58">
        <w:t xml:space="preserve">door de Secretaris General van de Verenigde Naties (SGVN) en de Directeur Generaal </w:t>
      </w:r>
      <w:r w:rsidR="004D1D28">
        <w:t xml:space="preserve">(DG) </w:t>
      </w:r>
      <w:r w:rsidR="004C1E58">
        <w:t xml:space="preserve">van de FAO </w:t>
      </w:r>
      <w:r w:rsidRPr="004C58AB">
        <w:t xml:space="preserve">benoemd </w:t>
      </w:r>
      <w:r>
        <w:t xml:space="preserve">voor een periode van vijf jaar. </w:t>
      </w:r>
      <w:r w:rsidRPr="004C58AB">
        <w:t xml:space="preserve">Het hoofdkantoor van WFP staat in Rome, maar WFP is met 75 landenkantoren (en vele veldkantoren) goed vertegenwoordigd op landenniveau. </w:t>
      </w:r>
      <w:r>
        <w:t>WFP werkt voo</w:t>
      </w:r>
      <w:r w:rsidR="000B7AF9">
        <w:t>ral in fragiele landen en (post</w:t>
      </w:r>
      <w:r>
        <w:t xml:space="preserve">)conflictsituaties, doorgaans in lage inkomenslanden. </w:t>
      </w:r>
      <w:r w:rsidRPr="00943592">
        <w:t xml:space="preserve">Daarnaast heeft WFP </w:t>
      </w:r>
      <w:r>
        <w:t>zes regionale en</w:t>
      </w:r>
      <w:r w:rsidRPr="00943592">
        <w:t xml:space="preserve"> 12 liaisonkantoren (in de do</w:t>
      </w:r>
      <w:r>
        <w:t xml:space="preserve">norhoofdsteden) en beheert het vijf </w:t>
      </w:r>
      <w:r w:rsidRPr="00943592">
        <w:rPr>
          <w:i/>
        </w:rPr>
        <w:t xml:space="preserve">UN </w:t>
      </w:r>
      <w:proofErr w:type="spellStart"/>
      <w:r w:rsidRPr="00943592">
        <w:rPr>
          <w:i/>
        </w:rPr>
        <w:t>Humanitarian</w:t>
      </w:r>
      <w:proofErr w:type="spellEnd"/>
      <w:r w:rsidRPr="00943592">
        <w:rPr>
          <w:i/>
        </w:rPr>
        <w:t xml:space="preserve"> Response Depots </w:t>
      </w:r>
      <w:r w:rsidRPr="00943592">
        <w:t>(</w:t>
      </w:r>
      <w:proofErr w:type="spellStart"/>
      <w:r w:rsidRPr="00943592">
        <w:t>UNHRD’s</w:t>
      </w:r>
      <w:proofErr w:type="spellEnd"/>
      <w:r w:rsidRPr="00943592">
        <w:t xml:space="preserve">). </w:t>
      </w:r>
      <w:r>
        <w:t>WFP heeft meer dan 1</w:t>
      </w:r>
      <w:r w:rsidR="000B7AF9">
        <w:t>4</w:t>
      </w:r>
      <w:r>
        <w:t>.</w:t>
      </w:r>
      <w:r w:rsidR="000B7AF9">
        <w:t>8</w:t>
      </w:r>
      <w:r w:rsidRPr="004C58AB">
        <w:t xml:space="preserve">00 medewerkers, waarvan 92% </w:t>
      </w:r>
      <w:r w:rsidRPr="00E14278">
        <w:t>buiten</w:t>
      </w:r>
      <w:r w:rsidRPr="004C58AB">
        <w:t xml:space="preserve"> het hoofdkantoor werk</w:t>
      </w:r>
      <w:r>
        <w:t>t</w:t>
      </w:r>
      <w:r w:rsidRPr="004C58AB">
        <w:t>.</w:t>
      </w:r>
      <w:r w:rsidR="000D0473">
        <w:t xml:space="preserve"> </w:t>
      </w:r>
      <w:r w:rsidRPr="008F2DEE">
        <w:t xml:space="preserve">WFP krijgt geen </w:t>
      </w:r>
      <w:r w:rsidR="000B7AF9">
        <w:t xml:space="preserve">vaste </w:t>
      </w:r>
      <w:r w:rsidRPr="008F2DEE">
        <w:lastRenderedPageBreak/>
        <w:t>contributie</w:t>
      </w:r>
      <w:r w:rsidR="000B7AF9">
        <w:t>s</w:t>
      </w:r>
      <w:r w:rsidRPr="008F2DEE">
        <w:t xml:space="preserve"> (</w:t>
      </w:r>
      <w:proofErr w:type="spellStart"/>
      <w:r w:rsidRPr="000D0473">
        <w:rPr>
          <w:i/>
        </w:rPr>
        <w:t>core</w:t>
      </w:r>
      <w:proofErr w:type="spellEnd"/>
      <w:r w:rsidRPr="008F2DEE">
        <w:t xml:space="preserve"> financiering) van de </w:t>
      </w:r>
      <w:r w:rsidR="000B7AF9">
        <w:t>donoren</w:t>
      </w:r>
      <w:r w:rsidRPr="008F2DEE">
        <w:t xml:space="preserve"> en is elk jaar volledig afhank</w:t>
      </w:r>
      <w:r w:rsidR="000B7AF9">
        <w:t>elijk van vrijwillige bijdragen</w:t>
      </w:r>
      <w:r w:rsidRPr="008F2DEE">
        <w:t>. 92% van de inkomsten bestaat uit</w:t>
      </w:r>
      <w:r w:rsidR="000D0473">
        <w:t xml:space="preserve"> </w:t>
      </w:r>
      <w:r w:rsidR="00B70059">
        <w:rPr>
          <w:i/>
        </w:rPr>
        <w:t>non-</w:t>
      </w:r>
      <w:proofErr w:type="spellStart"/>
      <w:r w:rsidR="00B70059">
        <w:rPr>
          <w:i/>
        </w:rPr>
        <w:t>core</w:t>
      </w:r>
      <w:proofErr w:type="spellEnd"/>
      <w:r w:rsidRPr="008F2DEE">
        <w:t xml:space="preserve"> bijdragen, waardoor de </w:t>
      </w:r>
      <w:r w:rsidR="000B7AF9">
        <w:t>flexibiliteit</w:t>
      </w:r>
      <w:r w:rsidRPr="008F2DEE">
        <w:t xml:space="preserve"> van WFP </w:t>
      </w:r>
      <w:r>
        <w:t xml:space="preserve">wordt </w:t>
      </w:r>
      <w:r w:rsidRPr="008F2DEE">
        <w:t>beperkt.</w:t>
      </w:r>
      <w:r>
        <w:t xml:space="preserve"> Het werk van WFP in middeninkomenslanden, bijvoorbeeld</w:t>
      </w:r>
      <w:r w:rsidRPr="00E92B54">
        <w:rPr>
          <w:i/>
        </w:rPr>
        <w:t xml:space="preserve"> school </w:t>
      </w:r>
      <w:proofErr w:type="spellStart"/>
      <w:r w:rsidRPr="00E92B54">
        <w:rPr>
          <w:i/>
        </w:rPr>
        <w:t>feeding</w:t>
      </w:r>
      <w:proofErr w:type="spellEnd"/>
      <w:r>
        <w:t xml:space="preserve"> programma’s, wordt vaak geheel of gedeeltelijk door de n</w:t>
      </w:r>
      <w:r w:rsidR="000B7AF9">
        <w:t>ationale overheid gefinancierd.</w:t>
      </w:r>
    </w:p>
    <w:p w14:paraId="2D51ED5E" w14:textId="77777777" w:rsidR="002511A6" w:rsidRDefault="002511A6" w:rsidP="002511A6"/>
    <w:p w14:paraId="2D51ED5F" w14:textId="04B0F6C8" w:rsidR="002511A6" w:rsidRPr="005145F9" w:rsidRDefault="002511A6" w:rsidP="002511A6">
      <w:r w:rsidRPr="008F2DEE">
        <w:t xml:space="preserve">WFP doet actief mee aan de operationalisering van de </w:t>
      </w:r>
      <w:r w:rsidR="00C852C7">
        <w:t xml:space="preserve">VN-brede </w:t>
      </w:r>
      <w:proofErr w:type="spellStart"/>
      <w:r w:rsidR="00C852C7" w:rsidRPr="000D0473">
        <w:rPr>
          <w:i/>
        </w:rPr>
        <w:t>Quadrennial</w:t>
      </w:r>
      <w:proofErr w:type="spellEnd"/>
      <w:r w:rsidR="00C852C7" w:rsidRPr="000D0473">
        <w:rPr>
          <w:i/>
        </w:rPr>
        <w:t xml:space="preserve"> Comprehensive Policy Review</w:t>
      </w:r>
      <w:r w:rsidR="00C852C7">
        <w:t xml:space="preserve"> (</w:t>
      </w:r>
      <w:r w:rsidRPr="008F2DEE">
        <w:t>QCPR</w:t>
      </w:r>
      <w:r w:rsidR="008D1BC6">
        <w:t xml:space="preserve">) </w:t>
      </w:r>
      <w:r w:rsidRPr="008F2DEE">
        <w:t>resolutie</w:t>
      </w:r>
      <w:r w:rsidR="000B7AF9">
        <w:t>s</w:t>
      </w:r>
      <w:r w:rsidRPr="008F2DEE">
        <w:t xml:space="preserve"> en houdt de Uitvoerende Raad op de hoogte van de voortgang</w:t>
      </w:r>
      <w:r>
        <w:t xml:space="preserve"> in het </w:t>
      </w:r>
      <w:proofErr w:type="spellStart"/>
      <w:r w:rsidRPr="00BB70A2">
        <w:rPr>
          <w:i/>
        </w:rPr>
        <w:t>Annual</w:t>
      </w:r>
      <w:proofErr w:type="spellEnd"/>
      <w:r>
        <w:rPr>
          <w:i/>
        </w:rPr>
        <w:t xml:space="preserve"> </w:t>
      </w:r>
      <w:r w:rsidRPr="00BB70A2">
        <w:rPr>
          <w:i/>
        </w:rPr>
        <w:t>Performa</w:t>
      </w:r>
      <w:r>
        <w:rPr>
          <w:i/>
        </w:rPr>
        <w:t>n</w:t>
      </w:r>
      <w:r w:rsidRPr="00BB70A2">
        <w:rPr>
          <w:i/>
        </w:rPr>
        <w:t>ce Report</w:t>
      </w:r>
      <w:r w:rsidRPr="008F2DEE">
        <w:t>.</w:t>
      </w:r>
      <w:r w:rsidR="00FD2CA3">
        <w:t xml:space="preserve"> </w:t>
      </w:r>
      <w:r>
        <w:t xml:space="preserve">Sinds 2013 onderneemt WFP elk jaar een </w:t>
      </w:r>
      <w:proofErr w:type="spellStart"/>
      <w:r w:rsidR="009164C9" w:rsidRPr="00A7493F">
        <w:rPr>
          <w:i/>
        </w:rPr>
        <w:t>self</w:t>
      </w:r>
      <w:proofErr w:type="spellEnd"/>
      <w:r w:rsidR="009164C9" w:rsidRPr="00A7493F">
        <w:rPr>
          <w:i/>
        </w:rPr>
        <w:t>-assessment</w:t>
      </w:r>
      <w:r>
        <w:t xml:space="preserve"> van zijn functioneren m.b.t. 15 UN-SWAP</w:t>
      </w:r>
      <w:r w:rsidR="00C852C7">
        <w:rPr>
          <w:rStyle w:val="FootnoteReference"/>
        </w:rPr>
        <w:footnoteReference w:id="2"/>
      </w:r>
      <w:r>
        <w:t xml:space="preserve"> indicatoren. De organisatie </w:t>
      </w:r>
      <w:r w:rsidRPr="005145F9">
        <w:t xml:space="preserve">heeft zich bijvoorbeeld gecommitteerd aan het doel van gendergelijkheid in alle lagen van de organisatie, waardoor vrouwen 50% van de functies zouden moeten bezetten. Hiertoe </w:t>
      </w:r>
      <w:r w:rsidR="008D1BC6">
        <w:t>was in 2016</w:t>
      </w:r>
      <w:r w:rsidRPr="005145F9">
        <w:t xml:space="preserve"> 65% van de nieuwe werknemers vrouw</w:t>
      </w:r>
      <w:r>
        <w:t>,</w:t>
      </w:r>
      <w:r w:rsidRPr="005145F9">
        <w:t xml:space="preserve"> waren 54,1% van alle promoties voor vrouwen</w:t>
      </w:r>
      <w:r>
        <w:t xml:space="preserve"> </w:t>
      </w:r>
      <w:r w:rsidRPr="005145F9">
        <w:t>en zijn er leiderschapsprogramma’s specifiek voor vrouwen.</w:t>
      </w:r>
    </w:p>
    <w:p w14:paraId="2D51ED60" w14:textId="77777777" w:rsidR="002511A6" w:rsidRDefault="002511A6" w:rsidP="002511A6">
      <w:pPr>
        <w:rPr>
          <w:szCs w:val="22"/>
        </w:rPr>
      </w:pPr>
    </w:p>
    <w:p w14:paraId="2D51ED61" w14:textId="003F20F2" w:rsidR="006A1D74" w:rsidRDefault="00ED5870" w:rsidP="00ED5870">
      <w:r>
        <w:t xml:space="preserve">WFP heeft een regelmatige cyclus van beleidsdoorlichtingen en evaluaties. Iedere Uitvoerende Raad staan er enkele documenten op de agenda en in juni </w:t>
      </w:r>
      <w:r w:rsidR="00C852C7">
        <w:t xml:space="preserve">wordt </w:t>
      </w:r>
      <w:r w:rsidR="00AF4DF8">
        <w:t>het jaarlijkse evaluatierapport</w:t>
      </w:r>
      <w:r w:rsidR="00C852C7">
        <w:t xml:space="preserve"> besproken</w:t>
      </w:r>
      <w:r>
        <w:t xml:space="preserve">. </w:t>
      </w:r>
      <w:r w:rsidR="0013249A">
        <w:t xml:space="preserve">Sinds de vorige versie van de scorecard zijn o.a. het </w:t>
      </w:r>
      <w:proofErr w:type="spellStart"/>
      <w:r w:rsidR="0013249A" w:rsidRPr="0013249A">
        <w:rPr>
          <w:i/>
        </w:rPr>
        <w:t>Nutrition</w:t>
      </w:r>
      <w:proofErr w:type="spellEnd"/>
      <w:r w:rsidR="0013249A">
        <w:t xml:space="preserve"> en het </w:t>
      </w:r>
      <w:proofErr w:type="spellStart"/>
      <w:r w:rsidR="0013249A" w:rsidRPr="0013249A">
        <w:rPr>
          <w:i/>
        </w:rPr>
        <w:t>Emergency</w:t>
      </w:r>
      <w:proofErr w:type="spellEnd"/>
      <w:r w:rsidR="0013249A" w:rsidRPr="0013249A">
        <w:rPr>
          <w:i/>
        </w:rPr>
        <w:t xml:space="preserve"> </w:t>
      </w:r>
      <w:proofErr w:type="spellStart"/>
      <w:r w:rsidR="0013249A" w:rsidRPr="0013249A">
        <w:rPr>
          <w:i/>
        </w:rPr>
        <w:t>Preparedness</w:t>
      </w:r>
      <w:proofErr w:type="spellEnd"/>
      <w:r w:rsidR="0013249A" w:rsidRPr="0013249A">
        <w:rPr>
          <w:i/>
        </w:rPr>
        <w:t xml:space="preserve"> &amp; Response</w:t>
      </w:r>
      <w:r w:rsidR="0013249A">
        <w:t xml:space="preserve"> beleid en een aantal landenportfolio’s besproken. De</w:t>
      </w:r>
      <w:r w:rsidR="00CD7B6F">
        <w:t xml:space="preserve"> bevindingen</w:t>
      </w:r>
      <w:r w:rsidR="0013249A">
        <w:t xml:space="preserve"> waren over de volle breedte positief.</w:t>
      </w:r>
    </w:p>
    <w:p w14:paraId="10DF94B2" w14:textId="77777777" w:rsidR="00D223FF" w:rsidRDefault="00D223FF" w:rsidP="00ED5870"/>
    <w:p w14:paraId="2D51ED62" w14:textId="77777777" w:rsidR="00D745A7" w:rsidRDefault="00344A07" w:rsidP="00F24A31">
      <w:pPr>
        <w:pStyle w:val="Heading2"/>
        <w:tabs>
          <w:tab w:val="left" w:pos="-1162"/>
          <w:tab w:val="left" w:pos="0"/>
          <w:tab w:val="num" w:pos="1160"/>
        </w:tabs>
        <w:spacing w:line="240" w:lineRule="auto"/>
        <w:ind w:hanging="1162"/>
      </w:pPr>
      <w:bookmarkStart w:id="25" w:name="_Toc491260348"/>
      <w:r>
        <w:t>3</w:t>
      </w:r>
      <w:r w:rsidR="00F24A31">
        <w:t xml:space="preserve">.3 </w:t>
      </w:r>
      <w:r w:rsidR="00F24A31">
        <w:tab/>
      </w:r>
      <w:r w:rsidR="00D745A7">
        <w:t xml:space="preserve">Nederlandse </w:t>
      </w:r>
      <w:r w:rsidR="000304C1">
        <w:t>rol en invloed</w:t>
      </w:r>
      <w:bookmarkEnd w:id="25"/>
    </w:p>
    <w:p w14:paraId="2D51ED64" w14:textId="5DD73FEE" w:rsidR="006A1D74" w:rsidRDefault="00760382" w:rsidP="00A908F9">
      <w:r>
        <w:t xml:space="preserve">Nederland heeft zitting en is vertegenwoordigd in de Uitvoerende Raad via de </w:t>
      </w:r>
      <w:r w:rsidRPr="00802B90">
        <w:t xml:space="preserve">Permanente Vertegenwoordiging in Rome. Een </w:t>
      </w:r>
      <w:r>
        <w:t xml:space="preserve">groot deel </w:t>
      </w:r>
      <w:r w:rsidRPr="00802B90">
        <w:t xml:space="preserve">van de inzet wordt gecoördineerd </w:t>
      </w:r>
      <w:r>
        <w:t xml:space="preserve">via </w:t>
      </w:r>
      <w:r w:rsidRPr="00802B90">
        <w:t xml:space="preserve">regionale groepen. Nederland maakt deel uit van Lijst-D, </w:t>
      </w:r>
      <w:r>
        <w:t xml:space="preserve">(de grote donoren, </w:t>
      </w:r>
      <w:r w:rsidRPr="00802B90">
        <w:t>OESO-landen</w:t>
      </w:r>
      <w:r>
        <w:t>)</w:t>
      </w:r>
      <w:r w:rsidR="0026609E">
        <w:t>. In 2017 is Nederland voorzitter van deze lijst en heeft daarmee ook zitting in het secretariaat van de UR</w:t>
      </w:r>
      <w:r w:rsidRPr="00802B90">
        <w:t xml:space="preserve">. </w:t>
      </w:r>
      <w:r>
        <w:t>De EU (DG ECHO</w:t>
      </w:r>
      <w:r w:rsidR="00684A42">
        <w:rPr>
          <w:rStyle w:val="FootnoteReference"/>
        </w:rPr>
        <w:footnoteReference w:id="3"/>
      </w:r>
      <w:r>
        <w:t xml:space="preserve">) is een grote donor voor WFP en heeft in de UR een waarnemersstatus. </w:t>
      </w:r>
      <w:r w:rsidR="006C10EA">
        <w:t xml:space="preserve">DG ECHO levert tijdens UR vaak een aantal statements af namens de EU. </w:t>
      </w:r>
      <w:r w:rsidR="0026609E">
        <w:t>De beslissingen in d</w:t>
      </w:r>
      <w:r w:rsidR="00EF1861">
        <w:t xml:space="preserve">e Uitvoerende Raad </w:t>
      </w:r>
      <w:r>
        <w:t xml:space="preserve">worden doorgaans niet via stemming genomen, maar in consensus. </w:t>
      </w:r>
      <w:r w:rsidRPr="00802B90">
        <w:t xml:space="preserve">Op basis van </w:t>
      </w:r>
      <w:r>
        <w:t>een</w:t>
      </w:r>
      <w:r w:rsidRPr="00802B90">
        <w:t xml:space="preserve"> rotatieschema – dat o</w:t>
      </w:r>
      <w:r w:rsidR="00C852C7">
        <w:t>nder meer</w:t>
      </w:r>
      <w:r w:rsidRPr="00802B90">
        <w:t xml:space="preserve"> gebaseerd is op financiële contributies – zit Nederland vrijwel permanent </w:t>
      </w:r>
      <w:r>
        <w:t xml:space="preserve">(11 van de 12 jaar) </w:t>
      </w:r>
      <w:r w:rsidRPr="00802B90">
        <w:t xml:space="preserve">in de </w:t>
      </w:r>
      <w:r>
        <w:t>U</w:t>
      </w:r>
      <w:r w:rsidRPr="00802B90">
        <w:t xml:space="preserve">R. </w:t>
      </w:r>
      <w:r>
        <w:t>Gedurende</w:t>
      </w:r>
      <w:r w:rsidRPr="00802B90">
        <w:t xml:space="preserve"> de periode 2013-2024 zit Nederland alleen in 2018 niet in de Raad. De </w:t>
      </w:r>
      <w:r w:rsidR="00646AF0">
        <w:t xml:space="preserve">ene </w:t>
      </w:r>
      <w:r w:rsidRPr="00802B90">
        <w:t xml:space="preserve">helft van de leden in de Raad wordt </w:t>
      </w:r>
      <w:r w:rsidR="00646AF0">
        <w:t>via</w:t>
      </w:r>
      <w:r w:rsidRPr="00802B90">
        <w:t xml:space="preserve"> FAO benoemd, de andere </w:t>
      </w:r>
      <w:r>
        <w:t xml:space="preserve">helft </w:t>
      </w:r>
      <w:r w:rsidR="00646AF0">
        <w:t>via ECOSOC</w:t>
      </w:r>
      <w:r>
        <w:t>.</w:t>
      </w:r>
      <w:r w:rsidRPr="00802B90">
        <w:t xml:space="preserve"> </w:t>
      </w:r>
      <w:r>
        <w:t xml:space="preserve">Nederland heeft als middelgrote donor relatief veel invloed in WFP. Ook dankzij het feit dat Nederland </w:t>
      </w:r>
      <w:r w:rsidR="003F02B2">
        <w:t xml:space="preserve">hoog </w:t>
      </w:r>
      <w:r w:rsidR="00D52800">
        <w:t>o</w:t>
      </w:r>
      <w:r w:rsidR="003F02B2">
        <w:t>p de lijst staat van</w:t>
      </w:r>
      <w:r w:rsidR="000D0473">
        <w:t xml:space="preserve"> co-</w:t>
      </w:r>
      <w:r>
        <w:t>bijdragen word</w:t>
      </w:r>
      <w:r w:rsidR="003F02B2">
        <w:t xml:space="preserve">en we </w:t>
      </w:r>
      <w:r>
        <w:t>gezien als een constructieve en serieuze gesprekspartner</w:t>
      </w:r>
      <w:r w:rsidR="003F02B2">
        <w:t>.</w:t>
      </w:r>
    </w:p>
    <w:p w14:paraId="25BC83B3" w14:textId="77777777" w:rsidR="00D223FF" w:rsidRDefault="00D223FF" w:rsidP="00A908F9"/>
    <w:p w14:paraId="2D51ED65" w14:textId="77777777" w:rsidR="00D745A7" w:rsidRDefault="00344A07" w:rsidP="00F24A31">
      <w:pPr>
        <w:pStyle w:val="Heading2"/>
        <w:tabs>
          <w:tab w:val="left" w:pos="-1162"/>
          <w:tab w:val="left" w:pos="0"/>
          <w:tab w:val="num" w:pos="1160"/>
        </w:tabs>
        <w:spacing w:line="240" w:lineRule="auto"/>
        <w:ind w:hanging="1162"/>
      </w:pPr>
      <w:bookmarkStart w:id="26" w:name="_Toc491260349"/>
      <w:r>
        <w:t>3</w:t>
      </w:r>
      <w:r w:rsidR="00F24A31">
        <w:t>.4</w:t>
      </w:r>
      <w:r w:rsidR="00F24A31">
        <w:tab/>
      </w:r>
      <w:r w:rsidR="00D745A7">
        <w:t>Financiële omvang en bijdragen</w:t>
      </w:r>
      <w:bookmarkEnd w:id="26"/>
    </w:p>
    <w:p w14:paraId="2D51ED67" w14:textId="40A7979E" w:rsidR="00643E49" w:rsidRPr="00DC249A" w:rsidRDefault="00B61649" w:rsidP="00643E49">
      <w:r>
        <w:t xml:space="preserve">WFP is de grootste </w:t>
      </w:r>
      <w:r w:rsidR="00BE0C8A">
        <w:t>humanitaire</w:t>
      </w:r>
      <w:r>
        <w:t xml:space="preserve"> organisatie met een jaarlijkse ‘omzet’ van ruim USD 5 miljard. </w:t>
      </w:r>
      <w:proofErr w:type="spellStart"/>
      <w:r w:rsidR="00634561">
        <w:t>WFP’s</w:t>
      </w:r>
      <w:proofErr w:type="spellEnd"/>
      <w:r w:rsidR="00634561">
        <w:t xml:space="preserve"> inkomsten bestaan volledig</w:t>
      </w:r>
      <w:r w:rsidR="00643E49" w:rsidRPr="005A582E">
        <w:t xml:space="preserve"> </w:t>
      </w:r>
      <w:r w:rsidR="00634561">
        <w:t xml:space="preserve">uit </w:t>
      </w:r>
      <w:r w:rsidR="00643E49" w:rsidRPr="005A582E">
        <w:t>vrijwillige bijdragen. D</w:t>
      </w:r>
      <w:r w:rsidR="00634561">
        <w:t xml:space="preserve">eze bijdragen komen voor het grootste deel in </w:t>
      </w:r>
      <w:r w:rsidR="00643E49" w:rsidRPr="005A582E">
        <w:t>cash</w:t>
      </w:r>
      <w:r w:rsidR="00634561">
        <w:t>, maar ook bijdragen ‘</w:t>
      </w:r>
      <w:r w:rsidR="00643E49" w:rsidRPr="005A582E">
        <w:t>in natura</w:t>
      </w:r>
      <w:r w:rsidR="00634561">
        <w:t>’</w:t>
      </w:r>
      <w:r w:rsidR="00643E49" w:rsidRPr="005A582E">
        <w:t xml:space="preserve"> (</w:t>
      </w:r>
      <w:r w:rsidR="00643E49">
        <w:t>bijvoorbeeld</w:t>
      </w:r>
      <w:r w:rsidR="00643E49" w:rsidRPr="005A582E">
        <w:t xml:space="preserve"> voedsel of personeel) </w:t>
      </w:r>
      <w:r w:rsidR="00634561">
        <w:t>komen voor</w:t>
      </w:r>
      <w:r w:rsidR="00643E49" w:rsidRPr="005A582E">
        <w:t xml:space="preserve">. Het grootste deel van de </w:t>
      </w:r>
      <w:r w:rsidR="00634561">
        <w:t>donaties</w:t>
      </w:r>
      <w:r w:rsidR="00643E49" w:rsidRPr="005A582E">
        <w:t xml:space="preserve"> is </w:t>
      </w:r>
      <w:r w:rsidR="00634561">
        <w:t xml:space="preserve">geografisch </w:t>
      </w:r>
      <w:r w:rsidR="00643E49" w:rsidRPr="005A582E">
        <w:t xml:space="preserve">geoormerkt </w:t>
      </w:r>
      <w:r w:rsidR="00634561">
        <w:t>en wordt dus gegeven voor een bepaalde operatie in een bepaald la</w:t>
      </w:r>
      <w:r w:rsidR="00A824F4">
        <w:t>n</w:t>
      </w:r>
      <w:r w:rsidR="00634561">
        <w:t xml:space="preserve">d en/of regio. </w:t>
      </w:r>
      <w:r w:rsidR="00643E49" w:rsidRPr="005A582E">
        <w:t xml:space="preserve">De Nederlandse </w:t>
      </w:r>
      <w:r w:rsidR="00634561">
        <w:t xml:space="preserve">Algemene Vrijwillige Bijdrage (AVB) </w:t>
      </w:r>
      <w:r w:rsidR="00643E49" w:rsidRPr="005A582E">
        <w:t xml:space="preserve">van EUR 36 miljoen per jaar </w:t>
      </w:r>
      <w:r w:rsidR="00611337">
        <w:t xml:space="preserve">(2016 en 2017) </w:t>
      </w:r>
      <w:r w:rsidR="00643E49" w:rsidRPr="005A582E">
        <w:t>is niet geoormerkt</w:t>
      </w:r>
      <w:r w:rsidR="00611337">
        <w:t xml:space="preserve">. Met deze bijdrage kan WFP bepalen waar deze </w:t>
      </w:r>
      <w:r w:rsidR="00643E49" w:rsidRPr="005A582E">
        <w:t>middelen flexibel en snel in te zetten</w:t>
      </w:r>
      <w:r w:rsidR="00611337">
        <w:t>, daar</w:t>
      </w:r>
      <w:r w:rsidR="00643E49" w:rsidRPr="005A582E">
        <w:t xml:space="preserve"> waar de noden het hoogst zijn. Een toenemend deel van de bijdragen aan WFP komt binnen via gemeenschappelijke donorfondsen op landenniveau (</w:t>
      </w:r>
      <w:r w:rsidR="00643E49">
        <w:t>bijvoorbeeld</w:t>
      </w:r>
      <w:r w:rsidR="00643E49" w:rsidRPr="005A582E">
        <w:t xml:space="preserve"> in Somalië, Zuid-Sudan of Ethiopië) of uit het </w:t>
      </w:r>
      <w:r w:rsidR="00611337">
        <w:rPr>
          <w:rStyle w:val="Emphasis"/>
        </w:rPr>
        <w:t xml:space="preserve">Central </w:t>
      </w:r>
      <w:proofErr w:type="spellStart"/>
      <w:r w:rsidR="00611337">
        <w:rPr>
          <w:rStyle w:val="Emphasis"/>
        </w:rPr>
        <w:t>Emergency</w:t>
      </w:r>
      <w:proofErr w:type="spellEnd"/>
      <w:r w:rsidR="00611337">
        <w:rPr>
          <w:rStyle w:val="Emphasis"/>
        </w:rPr>
        <w:t xml:space="preserve"> Response Fund </w:t>
      </w:r>
      <w:r w:rsidR="00611337">
        <w:rPr>
          <w:rStyle w:val="Emphasis"/>
          <w:i w:val="0"/>
        </w:rPr>
        <w:t>(</w:t>
      </w:r>
      <w:r w:rsidR="00643E49" w:rsidRPr="005A582E">
        <w:t>CERF</w:t>
      </w:r>
      <w:r w:rsidR="00611337">
        <w:t>)</w:t>
      </w:r>
      <w:r w:rsidR="00643E49">
        <w:t xml:space="preserve">. </w:t>
      </w:r>
      <w:r w:rsidR="00611337">
        <w:t xml:space="preserve">Een bescheiden, doch </w:t>
      </w:r>
      <w:r w:rsidR="00643E49" w:rsidRPr="005A582E">
        <w:t xml:space="preserve">toenemend deel van het budget </w:t>
      </w:r>
      <w:r w:rsidR="00611337">
        <w:t>wordt ge</w:t>
      </w:r>
      <w:r w:rsidR="00611337" w:rsidRPr="005A582E">
        <w:t>financier</w:t>
      </w:r>
      <w:r w:rsidR="00611337">
        <w:t>d</w:t>
      </w:r>
      <w:r w:rsidR="00643E49" w:rsidRPr="005A582E">
        <w:t xml:space="preserve"> uit publiek-</w:t>
      </w:r>
      <w:r w:rsidR="00643E49" w:rsidRPr="005A582E">
        <w:lastRenderedPageBreak/>
        <w:t xml:space="preserve">private samenwerkingsverbanden en </w:t>
      </w:r>
      <w:r w:rsidR="00611337">
        <w:t xml:space="preserve">private </w:t>
      </w:r>
      <w:r w:rsidR="00643E49" w:rsidRPr="005A582E">
        <w:t>sponsoren. In 201</w:t>
      </w:r>
      <w:r w:rsidR="00E37AFA">
        <w:t>6</w:t>
      </w:r>
      <w:r w:rsidR="00643E49">
        <w:t xml:space="preserve"> ontving</w:t>
      </w:r>
      <w:r w:rsidR="00643E49" w:rsidRPr="005A582E">
        <w:t xml:space="preserve"> WFP USD </w:t>
      </w:r>
      <w:r w:rsidR="00E37AFA">
        <w:t>73</w:t>
      </w:r>
      <w:r w:rsidR="00643E49" w:rsidRPr="005A582E">
        <w:t xml:space="preserve"> miljoen van private donoren.</w:t>
      </w:r>
      <w:r w:rsidR="00643E49">
        <w:t xml:space="preserve"> Nederland</w:t>
      </w:r>
      <w:r w:rsidR="00170F17">
        <w:t>se bedrijven zijn vanaf de begindagen actieve partners (bv.:</w:t>
      </w:r>
      <w:r w:rsidR="00510F32">
        <w:t xml:space="preserve"> </w:t>
      </w:r>
      <w:r w:rsidR="00643E49">
        <w:t>Unilever, DSM, PostNL)</w:t>
      </w:r>
      <w:r w:rsidR="00170F17">
        <w:t xml:space="preserve"> geweest. Hieruit zijn v</w:t>
      </w:r>
      <w:r w:rsidR="00643E49">
        <w:t>aak innovatieve producten (b</w:t>
      </w:r>
      <w:r w:rsidR="00170F17">
        <w:t xml:space="preserve">v. </w:t>
      </w:r>
      <w:r w:rsidR="00643E49">
        <w:t xml:space="preserve">voeding verrijkt met micronutriënten) en </w:t>
      </w:r>
      <w:r w:rsidR="008A29FE">
        <w:t>verbeteringen in de bedrijfsprocessen van WFP</w:t>
      </w:r>
      <w:r w:rsidR="00643E49">
        <w:t xml:space="preserve"> (b</w:t>
      </w:r>
      <w:r w:rsidR="00170F17">
        <w:t>v. logist</w:t>
      </w:r>
      <w:r w:rsidR="00643E49">
        <w:t>iek)</w:t>
      </w:r>
      <w:r w:rsidR="008A29FE">
        <w:t xml:space="preserve"> voortgekomen.</w:t>
      </w:r>
    </w:p>
    <w:p w14:paraId="2D51ED68" w14:textId="77777777" w:rsidR="00611337" w:rsidRDefault="00611337" w:rsidP="00643E49"/>
    <w:p w14:paraId="2D51ED69" w14:textId="49DC74BB" w:rsidR="00643E49" w:rsidRDefault="00643E49" w:rsidP="00643E49">
      <w:r w:rsidRPr="00A959B1">
        <w:t xml:space="preserve">De Verenigde Staten zijn </w:t>
      </w:r>
      <w:r w:rsidR="0066747F">
        <w:t xml:space="preserve">traditioneel </w:t>
      </w:r>
      <w:r w:rsidRPr="00A959B1">
        <w:t>ver</w:t>
      </w:r>
      <w:r w:rsidR="00BD4372">
        <w:t>reweg de grootste donor van WFP, met bijdragen die jaarlijks ruim USD 2 miljard bedragen</w:t>
      </w:r>
      <w:r w:rsidR="006C10EA">
        <w:t xml:space="preserve"> (ongeveer 50% van dit bedrag betreft bijdrage</w:t>
      </w:r>
      <w:r w:rsidR="00DC7309">
        <w:t>s</w:t>
      </w:r>
      <w:r w:rsidR="006C10EA">
        <w:t xml:space="preserve"> in natura)</w:t>
      </w:r>
      <w:r w:rsidR="00BD4372">
        <w:t xml:space="preserve">. De Europese Commissie, het Verenigd Koninkrijk, Duitsland, Canada en Japan zijn tevens grote donoren. Nederland, samen met een aantal </w:t>
      </w:r>
      <w:r w:rsidR="00DC7309">
        <w:t>Scandinavische Landen (</w:t>
      </w:r>
      <w:proofErr w:type="spellStart"/>
      <w:r w:rsidR="00BD4372" w:rsidRPr="000D0473">
        <w:rPr>
          <w:i/>
        </w:rPr>
        <w:t>Nordics</w:t>
      </w:r>
      <w:proofErr w:type="spellEnd"/>
      <w:r w:rsidR="00DC7309">
        <w:t>)</w:t>
      </w:r>
      <w:r w:rsidR="000D0473">
        <w:t xml:space="preserve"> en VN-</w:t>
      </w:r>
      <w:r w:rsidR="003F6065">
        <w:t xml:space="preserve">fondsen, maakt de </w:t>
      </w:r>
      <w:r w:rsidR="00BD4372">
        <w:t>lijst van topdonoren compleet. I</w:t>
      </w:r>
      <w:r w:rsidRPr="00A959B1">
        <w:t>n 201</w:t>
      </w:r>
      <w:r w:rsidR="00BD4372">
        <w:t xml:space="preserve">6 droeg Nederland </w:t>
      </w:r>
      <w:r w:rsidR="00C852C7">
        <w:t xml:space="preserve">bijna </w:t>
      </w:r>
      <w:r w:rsidRPr="00E92B54">
        <w:t xml:space="preserve">USD </w:t>
      </w:r>
      <w:r w:rsidR="00BD4372">
        <w:t>6</w:t>
      </w:r>
      <w:r w:rsidR="00C852C7">
        <w:t>7</w:t>
      </w:r>
      <w:r w:rsidRPr="00E92B54">
        <w:t xml:space="preserve"> miljoen bij aan WFP</w:t>
      </w:r>
      <w:r w:rsidR="00BD4372">
        <w:t xml:space="preserve">, waarvan </w:t>
      </w:r>
      <w:r w:rsidR="00DC7309">
        <w:t>EUR</w:t>
      </w:r>
      <w:r w:rsidR="00BD4372">
        <w:t xml:space="preserve"> </w:t>
      </w:r>
      <w:r w:rsidR="00DC7309">
        <w:t>36</w:t>
      </w:r>
      <w:r w:rsidRPr="00E92B54">
        <w:t xml:space="preserve"> miljoen </w:t>
      </w:r>
      <w:proofErr w:type="spellStart"/>
      <w:r w:rsidR="00BD4372">
        <w:t>ongeoormerkt</w:t>
      </w:r>
      <w:proofErr w:type="spellEnd"/>
      <w:r w:rsidR="00BD4372">
        <w:t xml:space="preserve"> via de </w:t>
      </w:r>
      <w:r w:rsidRPr="00A959B1">
        <w:t>Algemene Vrijwillige Bijdrage</w:t>
      </w:r>
      <w:r>
        <w:t xml:space="preserve">. </w:t>
      </w:r>
      <w:r w:rsidR="00BD4372">
        <w:t xml:space="preserve">Nederland en de </w:t>
      </w:r>
      <w:proofErr w:type="spellStart"/>
      <w:r w:rsidR="00BD4372" w:rsidRPr="000D0473">
        <w:rPr>
          <w:i/>
        </w:rPr>
        <w:t>Nordics</w:t>
      </w:r>
      <w:proofErr w:type="spellEnd"/>
      <w:r w:rsidR="00BD4372">
        <w:t xml:space="preserve"> zijn de vaste topdonoren als het gaat om </w:t>
      </w:r>
      <w:proofErr w:type="spellStart"/>
      <w:r w:rsidR="000A7D4C">
        <w:rPr>
          <w:i/>
        </w:rPr>
        <w:t>core</w:t>
      </w:r>
      <w:proofErr w:type="spellEnd"/>
      <w:r w:rsidR="00BD4372">
        <w:t xml:space="preserve"> bijdragen. </w:t>
      </w:r>
      <w:r w:rsidR="00ED25D1">
        <w:t>Het overige deel van de</w:t>
      </w:r>
      <w:r w:rsidR="00D52800">
        <w:t xml:space="preserve"> Nederlandse bijdrage </w:t>
      </w:r>
      <w:r w:rsidR="00BD4372">
        <w:t xml:space="preserve">kwam o.a. </w:t>
      </w:r>
      <w:r w:rsidRPr="00A959B1">
        <w:t>uit het noodhulpbudget</w:t>
      </w:r>
      <w:r>
        <w:t xml:space="preserve"> </w:t>
      </w:r>
      <w:r w:rsidR="00BD4372">
        <w:t xml:space="preserve">en via enkele ambassades die bilaterale programma’s met WFP hebben. </w:t>
      </w:r>
      <w:r>
        <w:t xml:space="preserve">Ten slotte komt </w:t>
      </w:r>
      <w:r w:rsidR="00BD4372">
        <w:t xml:space="preserve">er ook via </w:t>
      </w:r>
      <w:r>
        <w:t xml:space="preserve">het </w:t>
      </w:r>
      <w:r w:rsidRPr="005A582E">
        <w:rPr>
          <w:i/>
        </w:rPr>
        <w:t xml:space="preserve">United Nations Central </w:t>
      </w:r>
      <w:proofErr w:type="spellStart"/>
      <w:r w:rsidRPr="005A582E">
        <w:rPr>
          <w:i/>
        </w:rPr>
        <w:t>Emergency</w:t>
      </w:r>
      <w:proofErr w:type="spellEnd"/>
      <w:r w:rsidRPr="005A582E">
        <w:rPr>
          <w:i/>
        </w:rPr>
        <w:t xml:space="preserve"> Response Fund</w:t>
      </w:r>
      <w:r>
        <w:rPr>
          <w:i/>
        </w:rPr>
        <w:t xml:space="preserve"> </w:t>
      </w:r>
      <w:r>
        <w:t xml:space="preserve">(CERF), </w:t>
      </w:r>
      <w:r w:rsidRPr="00F4113A">
        <w:rPr>
          <w:i/>
        </w:rPr>
        <w:t xml:space="preserve">Common </w:t>
      </w:r>
      <w:proofErr w:type="spellStart"/>
      <w:r w:rsidRPr="00F4113A">
        <w:rPr>
          <w:i/>
        </w:rPr>
        <w:t>Humanitarian</w:t>
      </w:r>
      <w:proofErr w:type="spellEnd"/>
      <w:r w:rsidRPr="00F4113A">
        <w:rPr>
          <w:i/>
        </w:rPr>
        <w:t xml:space="preserve"> </w:t>
      </w:r>
      <w:proofErr w:type="spellStart"/>
      <w:r w:rsidRPr="00F4113A">
        <w:rPr>
          <w:i/>
        </w:rPr>
        <w:t>Fund</w:t>
      </w:r>
      <w:r w:rsidR="008E012B">
        <w:rPr>
          <w:i/>
        </w:rPr>
        <w:t>’s</w:t>
      </w:r>
      <w:proofErr w:type="spellEnd"/>
      <w:r>
        <w:t xml:space="preserve"> (</w:t>
      </w:r>
      <w:proofErr w:type="spellStart"/>
      <w:r>
        <w:t>CHF</w:t>
      </w:r>
      <w:r w:rsidR="008E012B">
        <w:t>’s</w:t>
      </w:r>
      <w:proofErr w:type="spellEnd"/>
      <w:r>
        <w:t xml:space="preserve">) of via andere </w:t>
      </w:r>
      <w:proofErr w:type="spellStart"/>
      <w:r w:rsidRPr="00F4113A">
        <w:rPr>
          <w:i/>
        </w:rPr>
        <w:t>pooled</w:t>
      </w:r>
      <w:proofErr w:type="spellEnd"/>
      <w:r w:rsidRPr="00F4113A">
        <w:rPr>
          <w:i/>
        </w:rPr>
        <w:t xml:space="preserve"> funds</w:t>
      </w:r>
      <w:r>
        <w:t xml:space="preserve"> </w:t>
      </w:r>
      <w:r w:rsidR="003F6065">
        <w:t>Nederlands geld bij WFP terecht.</w:t>
      </w:r>
      <w:r>
        <w:t xml:space="preserve"> </w:t>
      </w:r>
    </w:p>
    <w:p w14:paraId="0A2C9A26" w14:textId="3CC40E6B" w:rsidR="000D0473" w:rsidRPr="00A959B1" w:rsidRDefault="000D0473" w:rsidP="00643E49"/>
    <w:p w14:paraId="2D51ED6B" w14:textId="17D74949" w:rsidR="005150FC" w:rsidRDefault="00BE458E" w:rsidP="005150FC">
      <w:r>
        <w:t xml:space="preserve">Financieel Overzicht </w:t>
      </w:r>
      <w:r w:rsidR="005150FC">
        <w:t>(bedragen in USD miljoen)</w:t>
      </w:r>
    </w:p>
    <w:p w14:paraId="39232374" w14:textId="77777777" w:rsidR="000D0473" w:rsidRDefault="000D0473" w:rsidP="005150FC"/>
    <w:tbl>
      <w:tblPr>
        <w:tblW w:w="5000" w:type="pct"/>
        <w:tblInd w:w="-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848"/>
        <w:gridCol w:w="1125"/>
        <w:gridCol w:w="1473"/>
        <w:gridCol w:w="1746"/>
        <w:gridCol w:w="1016"/>
        <w:gridCol w:w="1489"/>
      </w:tblGrid>
      <w:tr w:rsidR="005150FC" w14:paraId="2D51ED6F" w14:textId="77777777" w:rsidTr="00F91F5E">
        <w:tc>
          <w:tcPr>
            <w:tcW w:w="551" w:type="pct"/>
            <w:tcBorders>
              <w:top w:val="single" w:sz="12" w:space="0" w:color="auto"/>
              <w:bottom w:val="single" w:sz="6" w:space="0" w:color="auto"/>
            </w:tcBorders>
            <w:shd w:val="clear" w:color="auto" w:fill="D9D9D9" w:themeFill="background1" w:themeFillShade="D9"/>
          </w:tcPr>
          <w:p w14:paraId="2D51ED6C" w14:textId="77777777" w:rsidR="005150FC" w:rsidRDefault="005150FC" w:rsidP="005150FC"/>
        </w:tc>
        <w:tc>
          <w:tcPr>
            <w:tcW w:w="3482" w:type="pct"/>
            <w:gridSpan w:val="4"/>
            <w:tcBorders>
              <w:top w:val="single" w:sz="12" w:space="0" w:color="auto"/>
            </w:tcBorders>
            <w:shd w:val="clear" w:color="auto" w:fill="D9D9D9" w:themeFill="background1" w:themeFillShade="D9"/>
            <w:hideMark/>
          </w:tcPr>
          <w:p w14:paraId="2D51ED6D" w14:textId="77777777" w:rsidR="005150FC" w:rsidRDefault="005150FC" w:rsidP="005150FC">
            <w:pPr>
              <w:jc w:val="center"/>
              <w:rPr>
                <w:b/>
              </w:rPr>
            </w:pPr>
            <w:r>
              <w:rPr>
                <w:b/>
              </w:rPr>
              <w:t>Inkomsten</w:t>
            </w:r>
          </w:p>
        </w:tc>
        <w:tc>
          <w:tcPr>
            <w:tcW w:w="967" w:type="pct"/>
            <w:tcBorders>
              <w:top w:val="single" w:sz="12" w:space="0" w:color="auto"/>
              <w:bottom w:val="single" w:sz="6" w:space="0" w:color="auto"/>
            </w:tcBorders>
            <w:shd w:val="clear" w:color="auto" w:fill="D9D9D9" w:themeFill="background1" w:themeFillShade="D9"/>
            <w:hideMark/>
          </w:tcPr>
          <w:p w14:paraId="2D51ED6E" w14:textId="2D4EC1DB" w:rsidR="005150FC" w:rsidRDefault="005150FC" w:rsidP="000D0473">
            <w:pPr>
              <w:rPr>
                <w:b/>
              </w:rPr>
            </w:pPr>
            <w:r>
              <w:rPr>
                <w:b/>
              </w:rPr>
              <w:t>Uitgaven</w:t>
            </w:r>
          </w:p>
        </w:tc>
      </w:tr>
      <w:tr w:rsidR="005150FC" w14:paraId="2D51ED75" w14:textId="77777777" w:rsidTr="00F91F5E">
        <w:tc>
          <w:tcPr>
            <w:tcW w:w="551" w:type="pct"/>
            <w:tcBorders>
              <w:top w:val="single" w:sz="6" w:space="0" w:color="auto"/>
              <w:bottom w:val="nil"/>
            </w:tcBorders>
            <w:shd w:val="clear" w:color="auto" w:fill="D9D9D9" w:themeFill="background1" w:themeFillShade="D9"/>
            <w:hideMark/>
          </w:tcPr>
          <w:p w14:paraId="2D51ED70" w14:textId="77777777" w:rsidR="005150FC" w:rsidRDefault="0059680A" w:rsidP="005150FC">
            <w:pPr>
              <w:rPr>
                <w:i/>
              </w:rPr>
            </w:pPr>
            <w:r>
              <w:rPr>
                <w:i/>
              </w:rPr>
              <w:t>Jaar</w:t>
            </w:r>
          </w:p>
        </w:tc>
        <w:tc>
          <w:tcPr>
            <w:tcW w:w="731" w:type="pct"/>
            <w:tcBorders>
              <w:top w:val="single" w:sz="6" w:space="0" w:color="auto"/>
              <w:bottom w:val="nil"/>
            </w:tcBorders>
            <w:shd w:val="clear" w:color="auto" w:fill="D9D9D9" w:themeFill="background1" w:themeFillShade="D9"/>
            <w:hideMark/>
          </w:tcPr>
          <w:p w14:paraId="2D51ED71" w14:textId="77777777" w:rsidR="005150FC" w:rsidRDefault="005150FC" w:rsidP="005150FC">
            <w:pPr>
              <w:rPr>
                <w:i/>
              </w:rPr>
            </w:pPr>
            <w:r>
              <w:rPr>
                <w:i/>
              </w:rPr>
              <w:t>Verplichte</w:t>
            </w:r>
          </w:p>
        </w:tc>
        <w:tc>
          <w:tcPr>
            <w:tcW w:w="2091" w:type="pct"/>
            <w:gridSpan w:val="2"/>
            <w:shd w:val="clear" w:color="auto" w:fill="D9D9D9" w:themeFill="background1" w:themeFillShade="D9"/>
            <w:hideMark/>
          </w:tcPr>
          <w:p w14:paraId="2D51ED72" w14:textId="77777777" w:rsidR="005150FC" w:rsidRDefault="005150FC" w:rsidP="005150FC">
            <w:pPr>
              <w:jc w:val="center"/>
              <w:rPr>
                <w:i/>
              </w:rPr>
            </w:pPr>
            <w:r>
              <w:rPr>
                <w:i/>
              </w:rPr>
              <w:t>Vrijwillige bijdragen</w:t>
            </w:r>
          </w:p>
        </w:tc>
        <w:tc>
          <w:tcPr>
            <w:tcW w:w="660" w:type="pct"/>
            <w:tcBorders>
              <w:top w:val="single" w:sz="6" w:space="0" w:color="auto"/>
              <w:bottom w:val="nil"/>
            </w:tcBorders>
            <w:shd w:val="clear" w:color="auto" w:fill="D9D9D9" w:themeFill="background1" w:themeFillShade="D9"/>
            <w:hideMark/>
          </w:tcPr>
          <w:p w14:paraId="2D51ED73" w14:textId="77777777" w:rsidR="005150FC" w:rsidRDefault="005150FC" w:rsidP="005150FC">
            <w:pPr>
              <w:jc w:val="right"/>
              <w:rPr>
                <w:i/>
              </w:rPr>
            </w:pPr>
            <w:r>
              <w:rPr>
                <w:i/>
              </w:rPr>
              <w:t>Totaal</w:t>
            </w:r>
          </w:p>
        </w:tc>
        <w:tc>
          <w:tcPr>
            <w:tcW w:w="967" w:type="pct"/>
            <w:tcBorders>
              <w:top w:val="single" w:sz="6" w:space="0" w:color="auto"/>
              <w:bottom w:val="nil"/>
            </w:tcBorders>
            <w:shd w:val="clear" w:color="auto" w:fill="D9D9D9" w:themeFill="background1" w:themeFillShade="D9"/>
            <w:hideMark/>
          </w:tcPr>
          <w:p w14:paraId="2D51ED74" w14:textId="77777777" w:rsidR="005150FC" w:rsidRDefault="005150FC" w:rsidP="005150FC">
            <w:pPr>
              <w:jc w:val="right"/>
              <w:rPr>
                <w:i/>
              </w:rPr>
            </w:pPr>
            <w:r>
              <w:rPr>
                <w:i/>
              </w:rPr>
              <w:t>Totaal</w:t>
            </w:r>
          </w:p>
        </w:tc>
      </w:tr>
      <w:tr w:rsidR="005150FC" w14:paraId="2D51ED7C" w14:textId="77777777" w:rsidTr="00F91F5E">
        <w:tc>
          <w:tcPr>
            <w:tcW w:w="551" w:type="pct"/>
            <w:tcBorders>
              <w:top w:val="nil"/>
              <w:bottom w:val="single" w:sz="12" w:space="0" w:color="auto"/>
            </w:tcBorders>
            <w:shd w:val="clear" w:color="auto" w:fill="D9D9D9" w:themeFill="background1" w:themeFillShade="D9"/>
            <w:hideMark/>
          </w:tcPr>
          <w:p w14:paraId="2D51ED76" w14:textId="77777777" w:rsidR="005150FC" w:rsidRDefault="005150FC" w:rsidP="005150FC">
            <w:pPr>
              <w:rPr>
                <w:i/>
              </w:rPr>
            </w:pPr>
          </w:p>
        </w:tc>
        <w:tc>
          <w:tcPr>
            <w:tcW w:w="731" w:type="pct"/>
            <w:tcBorders>
              <w:top w:val="nil"/>
              <w:bottom w:val="single" w:sz="12" w:space="0" w:color="auto"/>
            </w:tcBorders>
            <w:shd w:val="clear" w:color="auto" w:fill="D9D9D9" w:themeFill="background1" w:themeFillShade="D9"/>
            <w:hideMark/>
          </w:tcPr>
          <w:p w14:paraId="2D51ED77" w14:textId="77777777" w:rsidR="005150FC" w:rsidRDefault="005150FC" w:rsidP="005150FC">
            <w:pPr>
              <w:rPr>
                <w:i/>
              </w:rPr>
            </w:pPr>
            <w:r>
              <w:rPr>
                <w:i/>
              </w:rPr>
              <w:t>bijdragen</w:t>
            </w:r>
          </w:p>
        </w:tc>
        <w:tc>
          <w:tcPr>
            <w:tcW w:w="957" w:type="pct"/>
            <w:tcBorders>
              <w:top w:val="nil"/>
              <w:bottom w:val="single" w:sz="12" w:space="0" w:color="auto"/>
            </w:tcBorders>
            <w:shd w:val="clear" w:color="auto" w:fill="D9D9D9" w:themeFill="background1" w:themeFillShade="D9"/>
            <w:hideMark/>
          </w:tcPr>
          <w:p w14:paraId="2D51ED78" w14:textId="721FFB2A" w:rsidR="005150FC" w:rsidRDefault="000A7D4C" w:rsidP="000A7D4C">
            <w:pPr>
              <w:jc w:val="center"/>
              <w:rPr>
                <w:i/>
              </w:rPr>
            </w:pPr>
            <w:r>
              <w:rPr>
                <w:i/>
              </w:rPr>
              <w:t>Non-</w:t>
            </w:r>
            <w:proofErr w:type="spellStart"/>
            <w:r>
              <w:rPr>
                <w:i/>
              </w:rPr>
              <w:t>core</w:t>
            </w:r>
            <w:proofErr w:type="spellEnd"/>
          </w:p>
        </w:tc>
        <w:tc>
          <w:tcPr>
            <w:tcW w:w="1134" w:type="pct"/>
            <w:tcBorders>
              <w:top w:val="nil"/>
              <w:bottom w:val="single" w:sz="12" w:space="0" w:color="auto"/>
            </w:tcBorders>
            <w:shd w:val="clear" w:color="auto" w:fill="D9D9D9" w:themeFill="background1" w:themeFillShade="D9"/>
            <w:hideMark/>
          </w:tcPr>
          <w:p w14:paraId="2D51ED79" w14:textId="2563D23A" w:rsidR="005150FC" w:rsidRDefault="000A7D4C" w:rsidP="000A7D4C">
            <w:pPr>
              <w:jc w:val="center"/>
              <w:rPr>
                <w:i/>
              </w:rPr>
            </w:pPr>
            <w:proofErr w:type="spellStart"/>
            <w:r>
              <w:rPr>
                <w:i/>
              </w:rPr>
              <w:t>Core</w:t>
            </w:r>
            <w:proofErr w:type="spellEnd"/>
          </w:p>
        </w:tc>
        <w:tc>
          <w:tcPr>
            <w:tcW w:w="660" w:type="pct"/>
            <w:tcBorders>
              <w:top w:val="nil"/>
              <w:bottom w:val="single" w:sz="12" w:space="0" w:color="auto"/>
            </w:tcBorders>
            <w:shd w:val="clear" w:color="auto" w:fill="D9D9D9" w:themeFill="background1" w:themeFillShade="D9"/>
          </w:tcPr>
          <w:p w14:paraId="2D51ED7A" w14:textId="77777777" w:rsidR="005150FC" w:rsidRDefault="005150FC" w:rsidP="005150FC">
            <w:pPr>
              <w:rPr>
                <w:i/>
              </w:rPr>
            </w:pPr>
          </w:p>
        </w:tc>
        <w:tc>
          <w:tcPr>
            <w:tcW w:w="967" w:type="pct"/>
            <w:tcBorders>
              <w:top w:val="nil"/>
              <w:bottom w:val="single" w:sz="12" w:space="0" w:color="auto"/>
            </w:tcBorders>
            <w:shd w:val="clear" w:color="auto" w:fill="D9D9D9" w:themeFill="background1" w:themeFillShade="D9"/>
          </w:tcPr>
          <w:p w14:paraId="2D51ED7B" w14:textId="77777777" w:rsidR="005150FC" w:rsidRDefault="005150FC" w:rsidP="005150FC">
            <w:pPr>
              <w:rPr>
                <w:i/>
              </w:rPr>
            </w:pPr>
          </w:p>
        </w:tc>
      </w:tr>
      <w:tr w:rsidR="005150FC" w14:paraId="2D51ED83" w14:textId="77777777" w:rsidTr="00F91F5E">
        <w:tc>
          <w:tcPr>
            <w:tcW w:w="551" w:type="pct"/>
            <w:tcBorders>
              <w:top w:val="single" w:sz="12" w:space="0" w:color="auto"/>
            </w:tcBorders>
            <w:hideMark/>
          </w:tcPr>
          <w:p w14:paraId="2D51ED7D" w14:textId="77777777" w:rsidR="005150FC" w:rsidRDefault="003A1E73" w:rsidP="005150FC">
            <w:r>
              <w:t>201</w:t>
            </w:r>
            <w:r w:rsidR="00D85213">
              <w:t>4</w:t>
            </w:r>
          </w:p>
        </w:tc>
        <w:tc>
          <w:tcPr>
            <w:tcW w:w="731" w:type="pct"/>
            <w:tcBorders>
              <w:top w:val="single" w:sz="12" w:space="0" w:color="auto"/>
            </w:tcBorders>
          </w:tcPr>
          <w:p w14:paraId="2D51ED7E" w14:textId="77777777" w:rsidR="005150FC" w:rsidRDefault="003F6065" w:rsidP="005150FC">
            <w:pPr>
              <w:tabs>
                <w:tab w:val="decimal" w:pos="674"/>
              </w:tabs>
            </w:pPr>
            <w:r>
              <w:t>n.v.t.</w:t>
            </w:r>
          </w:p>
        </w:tc>
        <w:tc>
          <w:tcPr>
            <w:tcW w:w="957" w:type="pct"/>
            <w:tcBorders>
              <w:top w:val="single" w:sz="12" w:space="0" w:color="auto"/>
            </w:tcBorders>
          </w:tcPr>
          <w:p w14:paraId="2D51ED7F" w14:textId="77777777" w:rsidR="005150FC" w:rsidRDefault="00C90424" w:rsidP="00267CC1">
            <w:pPr>
              <w:tabs>
                <w:tab w:val="decimal" w:pos="780"/>
              </w:tabs>
              <w:jc w:val="right"/>
            </w:pPr>
            <w:r>
              <w:t>5,</w:t>
            </w:r>
            <w:r w:rsidR="00267CC1">
              <w:t>099</w:t>
            </w:r>
          </w:p>
        </w:tc>
        <w:tc>
          <w:tcPr>
            <w:tcW w:w="1134" w:type="pct"/>
            <w:tcBorders>
              <w:top w:val="single" w:sz="12" w:space="0" w:color="auto"/>
            </w:tcBorders>
          </w:tcPr>
          <w:p w14:paraId="2D51ED80" w14:textId="77777777" w:rsidR="005150FC" w:rsidRDefault="00C90424" w:rsidP="003F6065">
            <w:pPr>
              <w:tabs>
                <w:tab w:val="decimal" w:pos="887"/>
              </w:tabs>
              <w:jc w:val="right"/>
            </w:pPr>
            <w:r>
              <w:t>452</w:t>
            </w:r>
          </w:p>
        </w:tc>
        <w:tc>
          <w:tcPr>
            <w:tcW w:w="660" w:type="pct"/>
            <w:tcBorders>
              <w:top w:val="single" w:sz="12" w:space="0" w:color="auto"/>
            </w:tcBorders>
          </w:tcPr>
          <w:p w14:paraId="2D51ED81" w14:textId="77777777" w:rsidR="005150FC" w:rsidRDefault="00C90424" w:rsidP="00C132C6">
            <w:pPr>
              <w:tabs>
                <w:tab w:val="decimal" w:pos="743"/>
              </w:tabs>
              <w:jc w:val="right"/>
            </w:pPr>
            <w:r>
              <w:t>5,</w:t>
            </w:r>
            <w:r w:rsidR="00C132C6">
              <w:t>551</w:t>
            </w:r>
          </w:p>
        </w:tc>
        <w:tc>
          <w:tcPr>
            <w:tcW w:w="967" w:type="pct"/>
            <w:tcBorders>
              <w:top w:val="single" w:sz="12" w:space="0" w:color="auto"/>
            </w:tcBorders>
          </w:tcPr>
          <w:p w14:paraId="2D51ED82" w14:textId="77777777" w:rsidR="005150FC" w:rsidRDefault="002033E0" w:rsidP="003F6065">
            <w:pPr>
              <w:tabs>
                <w:tab w:val="decimal" w:pos="885"/>
              </w:tabs>
              <w:jc w:val="right"/>
            </w:pPr>
            <w:r>
              <w:t>5,214</w:t>
            </w:r>
          </w:p>
        </w:tc>
      </w:tr>
      <w:tr w:rsidR="005150FC" w14:paraId="2D51ED8A" w14:textId="77777777" w:rsidTr="00F91F5E">
        <w:tc>
          <w:tcPr>
            <w:tcW w:w="551" w:type="pct"/>
            <w:hideMark/>
          </w:tcPr>
          <w:p w14:paraId="2D51ED84" w14:textId="77777777" w:rsidR="005150FC" w:rsidRDefault="003A1E73" w:rsidP="005150FC">
            <w:r>
              <w:t>201</w:t>
            </w:r>
            <w:r w:rsidR="00D85213">
              <w:t>5</w:t>
            </w:r>
          </w:p>
        </w:tc>
        <w:tc>
          <w:tcPr>
            <w:tcW w:w="731" w:type="pct"/>
          </w:tcPr>
          <w:p w14:paraId="2D51ED85" w14:textId="77777777" w:rsidR="005150FC" w:rsidRDefault="003F6065" w:rsidP="005150FC">
            <w:pPr>
              <w:tabs>
                <w:tab w:val="decimal" w:pos="674"/>
              </w:tabs>
            </w:pPr>
            <w:r>
              <w:t>n.v.t.</w:t>
            </w:r>
          </w:p>
        </w:tc>
        <w:tc>
          <w:tcPr>
            <w:tcW w:w="957" w:type="pct"/>
          </w:tcPr>
          <w:p w14:paraId="2D51ED86" w14:textId="77777777" w:rsidR="005150FC" w:rsidRDefault="00C90424" w:rsidP="003F6065">
            <w:pPr>
              <w:tabs>
                <w:tab w:val="decimal" w:pos="780"/>
              </w:tabs>
              <w:jc w:val="right"/>
            </w:pPr>
            <w:r>
              <w:t>4,626</w:t>
            </w:r>
          </w:p>
        </w:tc>
        <w:tc>
          <w:tcPr>
            <w:tcW w:w="1134" w:type="pct"/>
          </w:tcPr>
          <w:p w14:paraId="2D51ED87" w14:textId="77777777" w:rsidR="005150FC" w:rsidRDefault="00C90424" w:rsidP="003F6065">
            <w:pPr>
              <w:tabs>
                <w:tab w:val="decimal" w:pos="887"/>
              </w:tabs>
              <w:jc w:val="right"/>
            </w:pPr>
            <w:r>
              <w:t>421</w:t>
            </w:r>
          </w:p>
        </w:tc>
        <w:tc>
          <w:tcPr>
            <w:tcW w:w="660" w:type="pct"/>
          </w:tcPr>
          <w:p w14:paraId="2D51ED88" w14:textId="77777777" w:rsidR="005150FC" w:rsidRDefault="00C90424" w:rsidP="003F6065">
            <w:pPr>
              <w:tabs>
                <w:tab w:val="decimal" w:pos="743"/>
              </w:tabs>
              <w:jc w:val="right"/>
            </w:pPr>
            <w:r>
              <w:t>5,047</w:t>
            </w:r>
          </w:p>
        </w:tc>
        <w:tc>
          <w:tcPr>
            <w:tcW w:w="967" w:type="pct"/>
          </w:tcPr>
          <w:p w14:paraId="2D51ED89" w14:textId="77777777" w:rsidR="005150FC" w:rsidRDefault="00AF4DF8" w:rsidP="003F6065">
            <w:pPr>
              <w:tabs>
                <w:tab w:val="decimal" w:pos="885"/>
              </w:tabs>
              <w:jc w:val="right"/>
            </w:pPr>
            <w:r>
              <w:t>4,816</w:t>
            </w:r>
          </w:p>
        </w:tc>
      </w:tr>
      <w:tr w:rsidR="005150FC" w14:paraId="2D51ED91" w14:textId="77777777" w:rsidTr="00F91F5E">
        <w:tc>
          <w:tcPr>
            <w:tcW w:w="551" w:type="pct"/>
          </w:tcPr>
          <w:p w14:paraId="2D51ED8B" w14:textId="77777777" w:rsidR="005150FC" w:rsidRDefault="003A1E73" w:rsidP="005150FC">
            <w:r>
              <w:t>201</w:t>
            </w:r>
            <w:r w:rsidR="00D85213">
              <w:t>6</w:t>
            </w:r>
          </w:p>
        </w:tc>
        <w:tc>
          <w:tcPr>
            <w:tcW w:w="731" w:type="pct"/>
          </w:tcPr>
          <w:p w14:paraId="2D51ED8C" w14:textId="77777777" w:rsidR="005150FC" w:rsidRDefault="003F6065" w:rsidP="005150FC">
            <w:pPr>
              <w:tabs>
                <w:tab w:val="decimal" w:pos="674"/>
              </w:tabs>
            </w:pPr>
            <w:r>
              <w:t>n.v.t.</w:t>
            </w:r>
          </w:p>
        </w:tc>
        <w:tc>
          <w:tcPr>
            <w:tcW w:w="957" w:type="pct"/>
          </w:tcPr>
          <w:p w14:paraId="2D51ED8D" w14:textId="77777777" w:rsidR="005150FC" w:rsidRDefault="003F6065" w:rsidP="00267CC1">
            <w:pPr>
              <w:tabs>
                <w:tab w:val="decimal" w:pos="780"/>
              </w:tabs>
              <w:jc w:val="right"/>
            </w:pPr>
            <w:r>
              <w:t>5,55</w:t>
            </w:r>
            <w:r w:rsidR="00267CC1">
              <w:t>7</w:t>
            </w:r>
          </w:p>
        </w:tc>
        <w:tc>
          <w:tcPr>
            <w:tcW w:w="1134" w:type="pct"/>
          </w:tcPr>
          <w:p w14:paraId="2D51ED8E" w14:textId="77777777" w:rsidR="005150FC" w:rsidRDefault="003F6065" w:rsidP="003F6065">
            <w:pPr>
              <w:jc w:val="right"/>
            </w:pPr>
            <w:r>
              <w:t>380</w:t>
            </w:r>
          </w:p>
        </w:tc>
        <w:tc>
          <w:tcPr>
            <w:tcW w:w="660" w:type="pct"/>
          </w:tcPr>
          <w:p w14:paraId="2D51ED8F" w14:textId="77777777" w:rsidR="005150FC" w:rsidRDefault="003F6065" w:rsidP="00267CC1">
            <w:pPr>
              <w:jc w:val="right"/>
            </w:pPr>
            <w:r>
              <w:t>5,93</w:t>
            </w:r>
            <w:r w:rsidR="00267CC1">
              <w:t>7</w:t>
            </w:r>
          </w:p>
        </w:tc>
        <w:tc>
          <w:tcPr>
            <w:tcW w:w="967" w:type="pct"/>
          </w:tcPr>
          <w:p w14:paraId="2D51ED90" w14:textId="4012F41A" w:rsidR="005150FC" w:rsidRDefault="00AF56DC" w:rsidP="00AF56DC">
            <w:pPr>
              <w:tabs>
                <w:tab w:val="decimal" w:pos="885"/>
              </w:tabs>
              <w:jc w:val="right"/>
            </w:pPr>
            <w:r>
              <w:t>5,367</w:t>
            </w:r>
          </w:p>
        </w:tc>
      </w:tr>
    </w:tbl>
    <w:p w14:paraId="2D51ED92" w14:textId="7A0434C5" w:rsidR="009D277F" w:rsidRDefault="009D277F" w:rsidP="00B95FC2"/>
    <w:p w14:paraId="0E695F48" w14:textId="52E2099F" w:rsidR="005A5BB8" w:rsidRDefault="005A5BB8" w:rsidP="00B95FC2"/>
    <w:p w14:paraId="44980376" w14:textId="1F59526A" w:rsidR="005A5BB8" w:rsidRDefault="005A5BB8" w:rsidP="00B95FC2"/>
    <w:p w14:paraId="40BB7B1C" w14:textId="64D92690" w:rsidR="005A5BB8" w:rsidRDefault="005A5BB8" w:rsidP="00B95FC2"/>
    <w:p w14:paraId="79A93DDF" w14:textId="2DFB6E02" w:rsidR="005A5BB8" w:rsidRDefault="005A5BB8" w:rsidP="00B95FC2"/>
    <w:p w14:paraId="21B818F9" w14:textId="2405B807" w:rsidR="005A5BB8" w:rsidRDefault="005A5BB8" w:rsidP="00B95FC2"/>
    <w:p w14:paraId="0A71A7E8" w14:textId="1B58DDBC" w:rsidR="005A5BB8" w:rsidRDefault="005A5BB8" w:rsidP="00B95FC2"/>
    <w:p w14:paraId="3B3F3CB4" w14:textId="40AC9AED" w:rsidR="005A5BB8" w:rsidRDefault="005A5BB8" w:rsidP="00B95FC2"/>
    <w:p w14:paraId="38C054A8" w14:textId="7E5C6E79" w:rsidR="005A5BB8" w:rsidRDefault="005A5BB8" w:rsidP="00B95FC2"/>
    <w:p w14:paraId="3B0721E7" w14:textId="163C29FB" w:rsidR="005A5BB8" w:rsidRDefault="005A5BB8" w:rsidP="00B95FC2"/>
    <w:p w14:paraId="1D233A15" w14:textId="586DE14D" w:rsidR="005A5BB8" w:rsidRDefault="005A5BB8" w:rsidP="00B95FC2"/>
    <w:p w14:paraId="0A692948" w14:textId="7306BA84" w:rsidR="005A5BB8" w:rsidRDefault="005A5BB8" w:rsidP="00B95FC2"/>
    <w:p w14:paraId="642E404E" w14:textId="64DF11A8" w:rsidR="005A5BB8" w:rsidRDefault="005A5BB8" w:rsidP="00B95FC2"/>
    <w:p w14:paraId="5CB55836" w14:textId="3DA47ABB" w:rsidR="005A5BB8" w:rsidRDefault="005A5BB8" w:rsidP="00B95FC2"/>
    <w:p w14:paraId="6A0535D1" w14:textId="56BFC16F" w:rsidR="005A5BB8" w:rsidRDefault="005A5BB8" w:rsidP="00B95FC2"/>
    <w:p w14:paraId="156C987E" w14:textId="114FF5E5" w:rsidR="005A5BB8" w:rsidRDefault="005A5BB8" w:rsidP="00B95FC2"/>
    <w:p w14:paraId="4398FA94" w14:textId="7098DF84" w:rsidR="005A5BB8" w:rsidRDefault="005A5BB8" w:rsidP="00B95FC2"/>
    <w:p w14:paraId="33C3BC05" w14:textId="0186D35B" w:rsidR="005A5BB8" w:rsidRDefault="005A5BB8" w:rsidP="00B95FC2"/>
    <w:p w14:paraId="2C67075A" w14:textId="6B856200" w:rsidR="005A5BB8" w:rsidRDefault="005A5BB8" w:rsidP="00B95FC2"/>
    <w:p w14:paraId="770D94E1" w14:textId="287E4D2F" w:rsidR="005A5BB8" w:rsidRDefault="005A5BB8" w:rsidP="00B95FC2"/>
    <w:p w14:paraId="1063BB4D" w14:textId="54BE84BF" w:rsidR="005A5BB8" w:rsidRDefault="005A5BB8" w:rsidP="00B95FC2"/>
    <w:p w14:paraId="2BF77CAA" w14:textId="4743BAAE" w:rsidR="005A5BB8" w:rsidRDefault="005A5BB8" w:rsidP="00B95FC2"/>
    <w:p w14:paraId="0C5D7550" w14:textId="683BEBE4" w:rsidR="005A5BB8" w:rsidRDefault="005A5BB8" w:rsidP="00B95FC2"/>
    <w:p w14:paraId="5DD565C3" w14:textId="0FEA1E57" w:rsidR="005A5BB8" w:rsidRDefault="005A5BB8" w:rsidP="00B95FC2"/>
    <w:p w14:paraId="239A9D17" w14:textId="4DE5E1E9" w:rsidR="005A5BB8" w:rsidRDefault="005A5BB8" w:rsidP="00B95FC2"/>
    <w:p w14:paraId="071897F7" w14:textId="24C19D47" w:rsidR="005A5BB8" w:rsidRDefault="005A5BB8" w:rsidP="00B95FC2"/>
    <w:p w14:paraId="32BB7CBE" w14:textId="5D7FA974" w:rsidR="005A5BB8" w:rsidRDefault="005A5BB8" w:rsidP="00B95FC2"/>
    <w:p w14:paraId="05949D76" w14:textId="669E09A9" w:rsidR="005A5BB8" w:rsidRDefault="005A5BB8" w:rsidP="00B95FC2"/>
    <w:p w14:paraId="57E57574" w14:textId="7D3C51C6" w:rsidR="005A5BB8" w:rsidRDefault="005A5BB8" w:rsidP="00B95FC2"/>
    <w:p w14:paraId="0E1A24D3" w14:textId="177FD0C4" w:rsidR="005A5BB8" w:rsidRDefault="005A5BB8" w:rsidP="00B95FC2"/>
    <w:p w14:paraId="1D78A215" w14:textId="7536335B" w:rsidR="005A5BB8" w:rsidRDefault="005A5BB8" w:rsidP="00B95FC2"/>
    <w:p w14:paraId="3D93CE28" w14:textId="3E1EC11B" w:rsidR="005A5BB8" w:rsidRDefault="005A5BB8" w:rsidP="00B95FC2"/>
    <w:p w14:paraId="2D51ED93" w14:textId="5A0A13C8" w:rsidR="005150FC" w:rsidRDefault="005150FC" w:rsidP="005150FC">
      <w:r w:rsidRPr="004D372F">
        <w:t>Overzicht bijdragen en ranking grootste donoren</w:t>
      </w:r>
      <w:r w:rsidR="00E37AFA">
        <w:t xml:space="preserve"> </w:t>
      </w:r>
      <w:r>
        <w:t>(bedragen in USD miljoen)</w:t>
      </w:r>
    </w:p>
    <w:p w14:paraId="4FA5C51C" w14:textId="77777777" w:rsidR="000D0473" w:rsidRDefault="000D0473" w:rsidP="005150FC"/>
    <w:tbl>
      <w:tblPr>
        <w:tblW w:w="4981" w:type="pct"/>
        <w:tblInd w:w="-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800"/>
        <w:gridCol w:w="1779"/>
        <w:gridCol w:w="3716"/>
        <w:gridCol w:w="1373"/>
      </w:tblGrid>
      <w:tr w:rsidR="005150FC" w14:paraId="2D51ED98" w14:textId="77777777" w:rsidTr="00223974">
        <w:tc>
          <w:tcPr>
            <w:tcW w:w="522" w:type="pct"/>
            <w:tcBorders>
              <w:top w:val="single" w:sz="12" w:space="0" w:color="auto"/>
              <w:bottom w:val="single" w:sz="6" w:space="0" w:color="auto"/>
              <w:right w:val="single" w:sz="6" w:space="0" w:color="auto"/>
            </w:tcBorders>
            <w:hideMark/>
          </w:tcPr>
          <w:p w14:paraId="2D51ED94" w14:textId="77777777" w:rsidR="005150FC" w:rsidRPr="00A13499" w:rsidRDefault="005150FC" w:rsidP="005150FC">
            <w:pPr>
              <w:rPr>
                <w:b/>
              </w:rPr>
            </w:pPr>
            <w:r w:rsidRPr="00A13499">
              <w:rPr>
                <w:b/>
              </w:rPr>
              <w:t>Jaar</w:t>
            </w:r>
          </w:p>
        </w:tc>
        <w:tc>
          <w:tcPr>
            <w:tcW w:w="1160" w:type="pct"/>
            <w:tcBorders>
              <w:top w:val="single" w:sz="12" w:space="0" w:color="auto"/>
              <w:left w:val="single" w:sz="6" w:space="0" w:color="auto"/>
              <w:bottom w:val="single" w:sz="6" w:space="0" w:color="auto"/>
              <w:right w:val="single" w:sz="6" w:space="0" w:color="auto"/>
            </w:tcBorders>
            <w:hideMark/>
          </w:tcPr>
          <w:p w14:paraId="2D51ED95" w14:textId="77777777" w:rsidR="005150FC" w:rsidRPr="00A13499" w:rsidRDefault="005150FC" w:rsidP="005150FC">
            <w:pPr>
              <w:rPr>
                <w:b/>
              </w:rPr>
            </w:pPr>
            <w:r w:rsidRPr="00A13499">
              <w:rPr>
                <w:b/>
              </w:rPr>
              <w:t>Bijdrage</w:t>
            </w:r>
          </w:p>
        </w:tc>
        <w:tc>
          <w:tcPr>
            <w:tcW w:w="2423" w:type="pct"/>
            <w:tcBorders>
              <w:top w:val="single" w:sz="12" w:space="0" w:color="auto"/>
              <w:left w:val="single" w:sz="6" w:space="0" w:color="auto"/>
              <w:bottom w:val="single" w:sz="6" w:space="0" w:color="auto"/>
              <w:right w:val="single" w:sz="6" w:space="0" w:color="auto"/>
            </w:tcBorders>
            <w:hideMark/>
          </w:tcPr>
          <w:p w14:paraId="2D51ED96" w14:textId="77777777" w:rsidR="005150FC" w:rsidRPr="00A13499" w:rsidRDefault="005150FC" w:rsidP="005150FC">
            <w:pPr>
              <w:rPr>
                <w:b/>
              </w:rPr>
            </w:pPr>
            <w:r w:rsidRPr="00A13499">
              <w:rPr>
                <w:b/>
              </w:rPr>
              <w:t>Ranking/donor</w:t>
            </w:r>
          </w:p>
        </w:tc>
        <w:tc>
          <w:tcPr>
            <w:tcW w:w="895" w:type="pct"/>
            <w:tcBorders>
              <w:top w:val="single" w:sz="12" w:space="0" w:color="auto"/>
              <w:left w:val="single" w:sz="6" w:space="0" w:color="auto"/>
              <w:bottom w:val="single" w:sz="6" w:space="0" w:color="auto"/>
            </w:tcBorders>
            <w:hideMark/>
          </w:tcPr>
          <w:p w14:paraId="2D51ED97" w14:textId="77777777" w:rsidR="005150FC" w:rsidRPr="00A13499" w:rsidRDefault="005150FC" w:rsidP="005150FC">
            <w:pPr>
              <w:jc w:val="center"/>
              <w:rPr>
                <w:b/>
              </w:rPr>
            </w:pPr>
            <w:r w:rsidRPr="00A13499">
              <w:rPr>
                <w:b/>
              </w:rPr>
              <w:t>Bedrag</w:t>
            </w:r>
          </w:p>
        </w:tc>
      </w:tr>
      <w:tr w:rsidR="00684A42" w14:paraId="2D51ED9D" w14:textId="77777777" w:rsidTr="00223974">
        <w:tc>
          <w:tcPr>
            <w:tcW w:w="5000" w:type="pct"/>
            <w:gridSpan w:val="4"/>
            <w:tcBorders>
              <w:top w:val="single" w:sz="6" w:space="0" w:color="auto"/>
              <w:bottom w:val="single" w:sz="12" w:space="0" w:color="auto"/>
            </w:tcBorders>
            <w:shd w:val="clear" w:color="auto" w:fill="D9D9D9"/>
          </w:tcPr>
          <w:p w14:paraId="2D51ED9C" w14:textId="77777777" w:rsidR="00684A42" w:rsidRDefault="00684A42" w:rsidP="005150FC"/>
        </w:tc>
      </w:tr>
      <w:tr w:rsidR="00845E1F" w14:paraId="2F841C80" w14:textId="77777777" w:rsidTr="00223974">
        <w:tc>
          <w:tcPr>
            <w:tcW w:w="522" w:type="pct"/>
            <w:vMerge w:val="restart"/>
            <w:tcBorders>
              <w:top w:val="single" w:sz="12" w:space="0" w:color="auto"/>
            </w:tcBorders>
          </w:tcPr>
          <w:p w14:paraId="4095D56D" w14:textId="77777777" w:rsidR="00845E1F" w:rsidRDefault="00845E1F" w:rsidP="00684A42">
            <w:r>
              <w:t>2014</w:t>
            </w:r>
          </w:p>
          <w:p w14:paraId="4F2992C2" w14:textId="279DD23D" w:rsidR="00845E1F" w:rsidRDefault="00845E1F" w:rsidP="00684A42"/>
          <w:p w14:paraId="08F0065B" w14:textId="2755F4D2" w:rsidR="00845E1F" w:rsidRDefault="00845E1F" w:rsidP="00684A42"/>
          <w:p w14:paraId="7B30776B" w14:textId="233E47D1" w:rsidR="00845E1F" w:rsidRDefault="00845E1F" w:rsidP="00684A42"/>
          <w:p w14:paraId="0D624414" w14:textId="7D683ECD" w:rsidR="00845E1F" w:rsidRDefault="00845E1F" w:rsidP="00684A42"/>
          <w:p w14:paraId="0DDA5EA7" w14:textId="14904308" w:rsidR="00845E1F" w:rsidRDefault="00845E1F" w:rsidP="00684A42"/>
          <w:p w14:paraId="0D6DE6AA" w14:textId="54BA926D" w:rsidR="00845E1F" w:rsidRDefault="00845E1F" w:rsidP="0017761C"/>
          <w:p w14:paraId="4C36D1DD" w14:textId="741B41DC" w:rsidR="00845E1F" w:rsidRDefault="00845E1F" w:rsidP="00684A42"/>
          <w:p w14:paraId="6E1DD769" w14:textId="10D26FE4" w:rsidR="00845E1F" w:rsidRDefault="00845E1F" w:rsidP="00684A42"/>
          <w:p w14:paraId="0A22A50C" w14:textId="613D898A" w:rsidR="00845E1F" w:rsidRDefault="00845E1F" w:rsidP="00684A42"/>
        </w:tc>
        <w:tc>
          <w:tcPr>
            <w:tcW w:w="1160" w:type="pct"/>
            <w:vMerge w:val="restart"/>
            <w:tcBorders>
              <w:top w:val="single" w:sz="12" w:space="0" w:color="auto"/>
            </w:tcBorders>
          </w:tcPr>
          <w:p w14:paraId="6E2263CC" w14:textId="679B774E" w:rsidR="00845E1F" w:rsidRPr="00684A42" w:rsidRDefault="00845E1F" w:rsidP="00684A42">
            <w:pPr>
              <w:rPr>
                <w:i/>
              </w:rPr>
            </w:pPr>
            <w:proofErr w:type="spellStart"/>
            <w:r w:rsidRPr="00684A42">
              <w:rPr>
                <w:i/>
              </w:rPr>
              <w:t>Core</w:t>
            </w:r>
            <w:proofErr w:type="spellEnd"/>
            <w:r w:rsidR="00861983">
              <w:rPr>
                <w:rStyle w:val="FootnoteReference"/>
                <w:i/>
              </w:rPr>
              <w:footnoteReference w:id="4"/>
            </w:r>
          </w:p>
        </w:tc>
        <w:tc>
          <w:tcPr>
            <w:tcW w:w="2423" w:type="pct"/>
            <w:tcBorders>
              <w:top w:val="single" w:sz="12" w:space="0" w:color="auto"/>
            </w:tcBorders>
          </w:tcPr>
          <w:p w14:paraId="385B69EB" w14:textId="728F5FD8" w:rsidR="00845E1F" w:rsidRDefault="005A66E5" w:rsidP="004C56D9">
            <w:pPr>
              <w:pStyle w:val="ListParagraph"/>
              <w:numPr>
                <w:ilvl w:val="0"/>
                <w:numId w:val="10"/>
              </w:numPr>
            </w:pPr>
            <w:r>
              <w:t>Z</w:t>
            </w:r>
            <w:r w:rsidR="00E41B43">
              <w:t>weden</w:t>
            </w:r>
          </w:p>
        </w:tc>
        <w:tc>
          <w:tcPr>
            <w:tcW w:w="895" w:type="pct"/>
            <w:tcBorders>
              <w:top w:val="single" w:sz="12" w:space="0" w:color="auto"/>
            </w:tcBorders>
          </w:tcPr>
          <w:p w14:paraId="25FB29EC" w14:textId="78E7B3A0" w:rsidR="00845E1F" w:rsidRDefault="00E41B43" w:rsidP="00684A42">
            <w:pPr>
              <w:tabs>
                <w:tab w:val="decimal" w:pos="1026"/>
              </w:tabs>
              <w:jc w:val="right"/>
            </w:pPr>
            <w:r>
              <w:t>82</w:t>
            </w:r>
          </w:p>
        </w:tc>
      </w:tr>
      <w:tr w:rsidR="00845E1F" w14:paraId="55ACB585" w14:textId="77777777" w:rsidTr="00F91F5E">
        <w:tc>
          <w:tcPr>
            <w:tcW w:w="522" w:type="pct"/>
            <w:vMerge/>
          </w:tcPr>
          <w:p w14:paraId="5A17B577" w14:textId="68D1DBA4" w:rsidR="00845E1F" w:rsidRDefault="00845E1F" w:rsidP="00684A42"/>
        </w:tc>
        <w:tc>
          <w:tcPr>
            <w:tcW w:w="1160" w:type="pct"/>
            <w:vMerge/>
          </w:tcPr>
          <w:p w14:paraId="5A997F6E" w14:textId="77777777" w:rsidR="00845E1F" w:rsidRDefault="00845E1F" w:rsidP="00684A42"/>
        </w:tc>
        <w:tc>
          <w:tcPr>
            <w:tcW w:w="2423" w:type="pct"/>
          </w:tcPr>
          <w:p w14:paraId="4DBA79B3" w14:textId="66CD4B0B" w:rsidR="00845E1F" w:rsidRDefault="00337241" w:rsidP="004C56D9">
            <w:pPr>
              <w:pStyle w:val="ListParagraph"/>
              <w:numPr>
                <w:ilvl w:val="0"/>
                <w:numId w:val="10"/>
              </w:numPr>
            </w:pPr>
            <w:r>
              <w:t>Verenigd Koninkrijk</w:t>
            </w:r>
          </w:p>
        </w:tc>
        <w:tc>
          <w:tcPr>
            <w:tcW w:w="895" w:type="pct"/>
          </w:tcPr>
          <w:p w14:paraId="05DBA099" w14:textId="6DEB1BD8" w:rsidR="00845E1F" w:rsidRDefault="00E41B43" w:rsidP="00684A42">
            <w:pPr>
              <w:tabs>
                <w:tab w:val="decimal" w:pos="1026"/>
              </w:tabs>
              <w:jc w:val="right"/>
            </w:pPr>
            <w:r>
              <w:t>63</w:t>
            </w:r>
          </w:p>
        </w:tc>
      </w:tr>
      <w:tr w:rsidR="00845E1F" w14:paraId="24C89088" w14:textId="77777777" w:rsidTr="00F91F5E">
        <w:tc>
          <w:tcPr>
            <w:tcW w:w="522" w:type="pct"/>
            <w:vMerge/>
          </w:tcPr>
          <w:p w14:paraId="2164867C" w14:textId="7C0CC8F4" w:rsidR="00845E1F" w:rsidRDefault="00845E1F" w:rsidP="00684A42"/>
        </w:tc>
        <w:tc>
          <w:tcPr>
            <w:tcW w:w="1160" w:type="pct"/>
            <w:vMerge/>
          </w:tcPr>
          <w:p w14:paraId="288809DB" w14:textId="77777777" w:rsidR="00845E1F" w:rsidRDefault="00845E1F" w:rsidP="00684A42"/>
        </w:tc>
        <w:tc>
          <w:tcPr>
            <w:tcW w:w="2423" w:type="pct"/>
          </w:tcPr>
          <w:p w14:paraId="05EEE2FD" w14:textId="66705E93" w:rsidR="00845E1F" w:rsidRPr="004D1D28" w:rsidRDefault="00E41B43" w:rsidP="004C56D9">
            <w:pPr>
              <w:pStyle w:val="ListParagraph"/>
              <w:numPr>
                <w:ilvl w:val="0"/>
                <w:numId w:val="10"/>
              </w:numPr>
              <w:rPr>
                <w:b/>
              </w:rPr>
            </w:pPr>
            <w:r w:rsidRPr="004D1D28">
              <w:rPr>
                <w:b/>
              </w:rPr>
              <w:t>Nederland</w:t>
            </w:r>
          </w:p>
        </w:tc>
        <w:tc>
          <w:tcPr>
            <w:tcW w:w="895" w:type="pct"/>
          </w:tcPr>
          <w:p w14:paraId="3886C1E0" w14:textId="033FD2D0" w:rsidR="00845E1F" w:rsidRPr="004D1D28" w:rsidRDefault="00E41B43" w:rsidP="00684A42">
            <w:pPr>
              <w:tabs>
                <w:tab w:val="decimal" w:pos="1026"/>
              </w:tabs>
              <w:jc w:val="right"/>
              <w:rPr>
                <w:b/>
              </w:rPr>
            </w:pPr>
            <w:r w:rsidRPr="004D1D28">
              <w:rPr>
                <w:b/>
              </w:rPr>
              <w:t>50</w:t>
            </w:r>
          </w:p>
        </w:tc>
      </w:tr>
      <w:tr w:rsidR="00845E1F" w14:paraId="58DB84B3" w14:textId="77777777" w:rsidTr="00F91F5E">
        <w:tc>
          <w:tcPr>
            <w:tcW w:w="522" w:type="pct"/>
            <w:vMerge/>
          </w:tcPr>
          <w:p w14:paraId="533440A6" w14:textId="6B241C02" w:rsidR="00845E1F" w:rsidRDefault="00845E1F" w:rsidP="00684A42"/>
        </w:tc>
        <w:tc>
          <w:tcPr>
            <w:tcW w:w="1160" w:type="pct"/>
            <w:vMerge w:val="restart"/>
          </w:tcPr>
          <w:p w14:paraId="7C16C873" w14:textId="77777777" w:rsidR="00845E1F" w:rsidRPr="0017761C" w:rsidRDefault="00845E1F" w:rsidP="00684A42">
            <w:pPr>
              <w:rPr>
                <w:i/>
              </w:rPr>
            </w:pPr>
            <w:r>
              <w:rPr>
                <w:i/>
              </w:rPr>
              <w:t>Non-</w:t>
            </w:r>
            <w:proofErr w:type="spellStart"/>
            <w:r>
              <w:rPr>
                <w:i/>
              </w:rPr>
              <w:t>core</w:t>
            </w:r>
            <w:proofErr w:type="spellEnd"/>
          </w:p>
          <w:p w14:paraId="1114E81B" w14:textId="246238BA" w:rsidR="00845E1F" w:rsidRDefault="00845E1F" w:rsidP="00684A42">
            <w:pPr>
              <w:rPr>
                <w:i/>
              </w:rPr>
            </w:pPr>
          </w:p>
          <w:p w14:paraId="16A0F98C" w14:textId="355F4EE3" w:rsidR="00845E1F" w:rsidRPr="0017761C" w:rsidRDefault="00845E1F" w:rsidP="00684A42">
            <w:pPr>
              <w:rPr>
                <w:i/>
              </w:rPr>
            </w:pPr>
          </w:p>
        </w:tc>
        <w:tc>
          <w:tcPr>
            <w:tcW w:w="2423" w:type="pct"/>
          </w:tcPr>
          <w:p w14:paraId="38923026" w14:textId="15800A62" w:rsidR="00845E1F" w:rsidRDefault="00337241" w:rsidP="004C56D9">
            <w:pPr>
              <w:pStyle w:val="ListParagraph"/>
              <w:numPr>
                <w:ilvl w:val="0"/>
                <w:numId w:val="11"/>
              </w:numPr>
            </w:pPr>
            <w:r>
              <w:t>Verenigde Staten</w:t>
            </w:r>
          </w:p>
        </w:tc>
        <w:tc>
          <w:tcPr>
            <w:tcW w:w="895" w:type="pct"/>
          </w:tcPr>
          <w:p w14:paraId="5B4DF5CC" w14:textId="34F36D59" w:rsidR="00845E1F" w:rsidRDefault="00337241" w:rsidP="00684A42">
            <w:pPr>
              <w:tabs>
                <w:tab w:val="decimal" w:pos="1026"/>
              </w:tabs>
              <w:jc w:val="right"/>
            </w:pPr>
            <w:r>
              <w:t>2,227</w:t>
            </w:r>
          </w:p>
        </w:tc>
      </w:tr>
      <w:tr w:rsidR="00845E1F" w14:paraId="4F901006" w14:textId="77777777" w:rsidTr="00F91F5E">
        <w:tc>
          <w:tcPr>
            <w:tcW w:w="522" w:type="pct"/>
            <w:vMerge/>
          </w:tcPr>
          <w:p w14:paraId="11DC798A" w14:textId="1C23A0CC" w:rsidR="00845E1F" w:rsidRDefault="00845E1F" w:rsidP="00684A42"/>
        </w:tc>
        <w:tc>
          <w:tcPr>
            <w:tcW w:w="1160" w:type="pct"/>
            <w:vMerge/>
          </w:tcPr>
          <w:p w14:paraId="522F51E3" w14:textId="1F78CE8D" w:rsidR="00845E1F" w:rsidRDefault="00845E1F" w:rsidP="00684A42">
            <w:pPr>
              <w:rPr>
                <w:i/>
              </w:rPr>
            </w:pPr>
          </w:p>
        </w:tc>
        <w:tc>
          <w:tcPr>
            <w:tcW w:w="2423" w:type="pct"/>
          </w:tcPr>
          <w:p w14:paraId="7C65587D" w14:textId="72CBF653" w:rsidR="00845E1F" w:rsidRDefault="00337241" w:rsidP="004C56D9">
            <w:pPr>
              <w:pStyle w:val="ListParagraph"/>
              <w:numPr>
                <w:ilvl w:val="0"/>
                <w:numId w:val="11"/>
              </w:numPr>
            </w:pPr>
            <w:r>
              <w:t>Europese Commissie</w:t>
            </w:r>
          </w:p>
        </w:tc>
        <w:tc>
          <w:tcPr>
            <w:tcW w:w="895" w:type="pct"/>
          </w:tcPr>
          <w:p w14:paraId="5700AA3F" w14:textId="633C77C2" w:rsidR="00845E1F" w:rsidRDefault="00337241" w:rsidP="00337241">
            <w:pPr>
              <w:tabs>
                <w:tab w:val="decimal" w:pos="1026"/>
              </w:tabs>
              <w:jc w:val="right"/>
            </w:pPr>
            <w:r>
              <w:t>372</w:t>
            </w:r>
          </w:p>
        </w:tc>
      </w:tr>
      <w:tr w:rsidR="00845E1F" w14:paraId="24EC6E7E" w14:textId="77777777" w:rsidTr="00F91F5E">
        <w:tc>
          <w:tcPr>
            <w:tcW w:w="522" w:type="pct"/>
            <w:vMerge/>
          </w:tcPr>
          <w:p w14:paraId="2544A8D6" w14:textId="27796877" w:rsidR="00845E1F" w:rsidRDefault="00845E1F" w:rsidP="00684A42"/>
        </w:tc>
        <w:tc>
          <w:tcPr>
            <w:tcW w:w="1160" w:type="pct"/>
            <w:vMerge/>
          </w:tcPr>
          <w:p w14:paraId="560DD948" w14:textId="02E9B69D" w:rsidR="00845E1F" w:rsidRDefault="00845E1F" w:rsidP="00684A42">
            <w:pPr>
              <w:rPr>
                <w:i/>
              </w:rPr>
            </w:pPr>
          </w:p>
        </w:tc>
        <w:tc>
          <w:tcPr>
            <w:tcW w:w="2423" w:type="pct"/>
          </w:tcPr>
          <w:p w14:paraId="6C557A31" w14:textId="6B4C38FD" w:rsidR="00845E1F" w:rsidRDefault="00337241" w:rsidP="004C56D9">
            <w:pPr>
              <w:pStyle w:val="ListParagraph"/>
              <w:numPr>
                <w:ilvl w:val="0"/>
                <w:numId w:val="11"/>
              </w:numPr>
            </w:pPr>
            <w:r>
              <w:t>Canada</w:t>
            </w:r>
          </w:p>
        </w:tc>
        <w:tc>
          <w:tcPr>
            <w:tcW w:w="895" w:type="pct"/>
          </w:tcPr>
          <w:p w14:paraId="263D9E3E" w14:textId="36AF6A7B" w:rsidR="00845E1F" w:rsidRDefault="00337241" w:rsidP="00337241">
            <w:pPr>
              <w:tabs>
                <w:tab w:val="decimal" w:pos="1026"/>
              </w:tabs>
              <w:jc w:val="right"/>
            </w:pPr>
            <w:r>
              <w:t>350</w:t>
            </w:r>
          </w:p>
        </w:tc>
      </w:tr>
      <w:tr w:rsidR="00845E1F" w14:paraId="46A70469" w14:textId="77777777" w:rsidTr="00F91F5E">
        <w:tc>
          <w:tcPr>
            <w:tcW w:w="522" w:type="pct"/>
            <w:vMerge/>
          </w:tcPr>
          <w:p w14:paraId="2A30C383" w14:textId="77777777" w:rsidR="00845E1F" w:rsidRDefault="00845E1F" w:rsidP="00684A42"/>
        </w:tc>
        <w:tc>
          <w:tcPr>
            <w:tcW w:w="1160" w:type="pct"/>
            <w:vMerge/>
          </w:tcPr>
          <w:p w14:paraId="2BC933A3" w14:textId="77777777" w:rsidR="00845E1F" w:rsidRDefault="00845E1F" w:rsidP="00684A42">
            <w:pPr>
              <w:rPr>
                <w:i/>
              </w:rPr>
            </w:pPr>
          </w:p>
        </w:tc>
        <w:tc>
          <w:tcPr>
            <w:tcW w:w="2423" w:type="pct"/>
          </w:tcPr>
          <w:p w14:paraId="60CEACC9" w14:textId="78927699" w:rsidR="00845E1F" w:rsidRPr="004E790A" w:rsidRDefault="00845E1F" w:rsidP="004C56D9">
            <w:pPr>
              <w:pStyle w:val="ListParagraph"/>
              <w:numPr>
                <w:ilvl w:val="0"/>
                <w:numId w:val="12"/>
              </w:numPr>
              <w:rPr>
                <w:b/>
              </w:rPr>
            </w:pPr>
            <w:r w:rsidRPr="004E790A">
              <w:rPr>
                <w:b/>
              </w:rPr>
              <w:t>Nederland</w:t>
            </w:r>
          </w:p>
        </w:tc>
        <w:tc>
          <w:tcPr>
            <w:tcW w:w="895" w:type="pct"/>
          </w:tcPr>
          <w:p w14:paraId="73C77A2D" w14:textId="696AD5D4" w:rsidR="00845E1F" w:rsidRPr="00BC42C2" w:rsidRDefault="00337241" w:rsidP="00684A42">
            <w:pPr>
              <w:tabs>
                <w:tab w:val="decimal" w:pos="1026"/>
              </w:tabs>
              <w:jc w:val="right"/>
              <w:rPr>
                <w:b/>
              </w:rPr>
            </w:pPr>
            <w:r w:rsidRPr="00BC42C2">
              <w:rPr>
                <w:b/>
              </w:rPr>
              <w:t>39</w:t>
            </w:r>
          </w:p>
        </w:tc>
      </w:tr>
      <w:tr w:rsidR="0017761C" w14:paraId="2D51EDA2" w14:textId="77777777" w:rsidTr="00F91F5E">
        <w:tc>
          <w:tcPr>
            <w:tcW w:w="522" w:type="pct"/>
            <w:vMerge/>
          </w:tcPr>
          <w:p w14:paraId="2D51ED9E" w14:textId="2BE87953" w:rsidR="0017761C" w:rsidRDefault="0017761C" w:rsidP="00684A42"/>
        </w:tc>
        <w:tc>
          <w:tcPr>
            <w:tcW w:w="1160" w:type="pct"/>
            <w:vMerge w:val="restart"/>
            <w:hideMark/>
          </w:tcPr>
          <w:p w14:paraId="2D51ED9F" w14:textId="77777777" w:rsidR="0017761C" w:rsidRDefault="0017761C" w:rsidP="00684A42">
            <w:r>
              <w:t>Totaal bijdrage</w:t>
            </w:r>
          </w:p>
        </w:tc>
        <w:tc>
          <w:tcPr>
            <w:tcW w:w="2423" w:type="pct"/>
            <w:hideMark/>
          </w:tcPr>
          <w:p w14:paraId="2D51EDA0" w14:textId="10AADBC0" w:rsidR="0017761C" w:rsidRDefault="0017761C" w:rsidP="004C56D9">
            <w:pPr>
              <w:pStyle w:val="ListParagraph"/>
              <w:numPr>
                <w:ilvl w:val="0"/>
                <w:numId w:val="13"/>
              </w:numPr>
            </w:pPr>
            <w:r>
              <w:t>Verenigde Staten</w:t>
            </w:r>
          </w:p>
        </w:tc>
        <w:tc>
          <w:tcPr>
            <w:tcW w:w="895" w:type="pct"/>
          </w:tcPr>
          <w:p w14:paraId="2D51EDA1" w14:textId="5B200970" w:rsidR="0017761C" w:rsidRDefault="0017761C" w:rsidP="00684A42">
            <w:pPr>
              <w:tabs>
                <w:tab w:val="decimal" w:pos="1026"/>
              </w:tabs>
              <w:jc w:val="right"/>
            </w:pPr>
            <w:r>
              <w:t>2,227</w:t>
            </w:r>
          </w:p>
        </w:tc>
      </w:tr>
      <w:tr w:rsidR="0017761C" w14:paraId="2D51EDA7" w14:textId="77777777" w:rsidTr="00F91F5E">
        <w:tc>
          <w:tcPr>
            <w:tcW w:w="522" w:type="pct"/>
            <w:vMerge/>
          </w:tcPr>
          <w:p w14:paraId="2D51EDA3" w14:textId="09628882" w:rsidR="0017761C" w:rsidRDefault="0017761C" w:rsidP="00684A42"/>
        </w:tc>
        <w:tc>
          <w:tcPr>
            <w:tcW w:w="1160" w:type="pct"/>
            <w:vMerge/>
          </w:tcPr>
          <w:p w14:paraId="2D51EDA4" w14:textId="77777777" w:rsidR="0017761C" w:rsidRDefault="0017761C" w:rsidP="00684A42"/>
        </w:tc>
        <w:tc>
          <w:tcPr>
            <w:tcW w:w="2423" w:type="pct"/>
            <w:hideMark/>
          </w:tcPr>
          <w:p w14:paraId="2D51EDA5" w14:textId="16EEDE8C" w:rsidR="0017761C" w:rsidRDefault="00337241" w:rsidP="004C56D9">
            <w:pPr>
              <w:pStyle w:val="ListParagraph"/>
              <w:numPr>
                <w:ilvl w:val="0"/>
                <w:numId w:val="13"/>
              </w:numPr>
            </w:pPr>
            <w:r>
              <w:t>Verenigd Koninkrijk</w:t>
            </w:r>
          </w:p>
        </w:tc>
        <w:tc>
          <w:tcPr>
            <w:tcW w:w="895" w:type="pct"/>
          </w:tcPr>
          <w:p w14:paraId="2D51EDA6" w14:textId="0C21A9B5" w:rsidR="0017761C" w:rsidRDefault="0017761C" w:rsidP="00684A42">
            <w:pPr>
              <w:tabs>
                <w:tab w:val="decimal" w:pos="1026"/>
              </w:tabs>
              <w:jc w:val="right"/>
            </w:pPr>
            <w:r>
              <w:t>409</w:t>
            </w:r>
          </w:p>
        </w:tc>
      </w:tr>
      <w:tr w:rsidR="0017761C" w14:paraId="737F62CC" w14:textId="77777777" w:rsidTr="00F91F5E">
        <w:tc>
          <w:tcPr>
            <w:tcW w:w="522" w:type="pct"/>
            <w:vMerge/>
          </w:tcPr>
          <w:p w14:paraId="2665AAFD" w14:textId="6F8722A3" w:rsidR="0017761C" w:rsidRDefault="0017761C" w:rsidP="00684A42"/>
        </w:tc>
        <w:tc>
          <w:tcPr>
            <w:tcW w:w="1160" w:type="pct"/>
            <w:vMerge/>
          </w:tcPr>
          <w:p w14:paraId="255D6C0D" w14:textId="77777777" w:rsidR="0017761C" w:rsidRDefault="0017761C" w:rsidP="00684A42"/>
        </w:tc>
        <w:tc>
          <w:tcPr>
            <w:tcW w:w="2423" w:type="pct"/>
          </w:tcPr>
          <w:p w14:paraId="0C06F4C9" w14:textId="4DFCD3C3" w:rsidR="0017761C" w:rsidRDefault="004E790A" w:rsidP="004C56D9">
            <w:pPr>
              <w:pStyle w:val="ListParagraph"/>
              <w:numPr>
                <w:ilvl w:val="0"/>
                <w:numId w:val="13"/>
              </w:numPr>
            </w:pPr>
            <w:r>
              <w:t>Europese Commissie</w:t>
            </w:r>
          </w:p>
        </w:tc>
        <w:tc>
          <w:tcPr>
            <w:tcW w:w="895" w:type="pct"/>
          </w:tcPr>
          <w:p w14:paraId="01E97021" w14:textId="43C30271" w:rsidR="0017761C" w:rsidRDefault="004E790A" w:rsidP="00684A42">
            <w:pPr>
              <w:tabs>
                <w:tab w:val="decimal" w:pos="1026"/>
              </w:tabs>
              <w:jc w:val="right"/>
            </w:pPr>
            <w:r>
              <w:t>372</w:t>
            </w:r>
          </w:p>
        </w:tc>
      </w:tr>
      <w:tr w:rsidR="0017761C" w14:paraId="2D51EDAC" w14:textId="77777777" w:rsidTr="00223974">
        <w:tc>
          <w:tcPr>
            <w:tcW w:w="522" w:type="pct"/>
            <w:vMerge/>
            <w:tcBorders>
              <w:bottom w:val="single" w:sz="4" w:space="0" w:color="auto"/>
            </w:tcBorders>
          </w:tcPr>
          <w:p w14:paraId="2D51EDA8" w14:textId="659A6E0C" w:rsidR="0017761C" w:rsidRDefault="0017761C" w:rsidP="00684A42"/>
        </w:tc>
        <w:tc>
          <w:tcPr>
            <w:tcW w:w="1160" w:type="pct"/>
            <w:vMerge/>
            <w:tcBorders>
              <w:bottom w:val="single" w:sz="4" w:space="0" w:color="auto"/>
            </w:tcBorders>
          </w:tcPr>
          <w:p w14:paraId="2D51EDA9" w14:textId="77777777" w:rsidR="0017761C" w:rsidRDefault="0017761C" w:rsidP="00684A42"/>
        </w:tc>
        <w:tc>
          <w:tcPr>
            <w:tcW w:w="2423" w:type="pct"/>
            <w:tcBorders>
              <w:bottom w:val="single" w:sz="4" w:space="0" w:color="auto"/>
            </w:tcBorders>
          </w:tcPr>
          <w:p w14:paraId="2D51EDAA" w14:textId="65816800" w:rsidR="0017761C" w:rsidRPr="004E790A" w:rsidRDefault="0017761C" w:rsidP="004C56D9">
            <w:pPr>
              <w:pStyle w:val="ListParagraph"/>
              <w:numPr>
                <w:ilvl w:val="0"/>
                <w:numId w:val="14"/>
              </w:numPr>
              <w:rPr>
                <w:b/>
              </w:rPr>
            </w:pPr>
            <w:r w:rsidRPr="004E790A">
              <w:rPr>
                <w:b/>
              </w:rPr>
              <w:t>Nederland</w:t>
            </w:r>
          </w:p>
        </w:tc>
        <w:tc>
          <w:tcPr>
            <w:tcW w:w="895" w:type="pct"/>
            <w:tcBorders>
              <w:bottom w:val="single" w:sz="4" w:space="0" w:color="auto"/>
            </w:tcBorders>
          </w:tcPr>
          <w:p w14:paraId="2D51EDAB" w14:textId="2DFED650" w:rsidR="0017761C" w:rsidRPr="003B3974" w:rsidRDefault="0017761C" w:rsidP="00684A42">
            <w:pPr>
              <w:tabs>
                <w:tab w:val="decimal" w:pos="1026"/>
              </w:tabs>
              <w:jc w:val="right"/>
              <w:rPr>
                <w:b/>
              </w:rPr>
            </w:pPr>
            <w:r w:rsidRPr="003B3974">
              <w:rPr>
                <w:b/>
              </w:rPr>
              <w:t>8</w:t>
            </w:r>
            <w:r>
              <w:rPr>
                <w:b/>
              </w:rPr>
              <w:t>9</w:t>
            </w:r>
          </w:p>
        </w:tc>
      </w:tr>
      <w:tr w:rsidR="00D07E60" w14:paraId="183706B4" w14:textId="77777777" w:rsidTr="00223974">
        <w:tc>
          <w:tcPr>
            <w:tcW w:w="522" w:type="pct"/>
            <w:tcBorders>
              <w:top w:val="single" w:sz="4" w:space="0" w:color="auto"/>
              <w:bottom w:val="single" w:sz="4" w:space="0" w:color="auto"/>
              <w:right w:val="single" w:sz="6" w:space="0" w:color="auto"/>
            </w:tcBorders>
            <w:shd w:val="clear" w:color="auto" w:fill="D9D9D9" w:themeFill="background1" w:themeFillShade="D9"/>
          </w:tcPr>
          <w:p w14:paraId="57526626" w14:textId="77777777" w:rsidR="00D07E60" w:rsidRDefault="00D07E60" w:rsidP="00684A42"/>
        </w:tc>
        <w:tc>
          <w:tcPr>
            <w:tcW w:w="1160" w:type="pct"/>
            <w:tcBorders>
              <w:top w:val="single" w:sz="4" w:space="0" w:color="auto"/>
              <w:left w:val="single" w:sz="6" w:space="0" w:color="auto"/>
              <w:bottom w:val="single" w:sz="4" w:space="0" w:color="auto"/>
              <w:right w:val="single" w:sz="6" w:space="0" w:color="auto"/>
            </w:tcBorders>
            <w:shd w:val="clear" w:color="auto" w:fill="D9D9D9" w:themeFill="background1" w:themeFillShade="D9"/>
          </w:tcPr>
          <w:p w14:paraId="0F25A689" w14:textId="77777777" w:rsidR="00D07E60" w:rsidRDefault="00D07E60" w:rsidP="00684A42"/>
        </w:tc>
        <w:tc>
          <w:tcPr>
            <w:tcW w:w="2423" w:type="pct"/>
            <w:tcBorders>
              <w:top w:val="single" w:sz="4" w:space="0" w:color="auto"/>
              <w:left w:val="single" w:sz="6" w:space="0" w:color="auto"/>
              <w:bottom w:val="single" w:sz="4" w:space="0" w:color="auto"/>
              <w:right w:val="single" w:sz="6" w:space="0" w:color="auto"/>
            </w:tcBorders>
            <w:shd w:val="clear" w:color="auto" w:fill="D9D9D9" w:themeFill="background1" w:themeFillShade="D9"/>
          </w:tcPr>
          <w:p w14:paraId="32728A5F" w14:textId="77777777" w:rsidR="00D07E60" w:rsidRPr="00D07E60" w:rsidRDefault="00D07E60" w:rsidP="00D07E60">
            <w:pPr>
              <w:rPr>
                <w:b/>
              </w:rPr>
            </w:pPr>
          </w:p>
        </w:tc>
        <w:tc>
          <w:tcPr>
            <w:tcW w:w="895" w:type="pct"/>
            <w:tcBorders>
              <w:top w:val="single" w:sz="4" w:space="0" w:color="auto"/>
              <w:left w:val="single" w:sz="6" w:space="0" w:color="auto"/>
              <w:bottom w:val="single" w:sz="4" w:space="0" w:color="auto"/>
            </w:tcBorders>
            <w:shd w:val="clear" w:color="auto" w:fill="D9D9D9" w:themeFill="background1" w:themeFillShade="D9"/>
          </w:tcPr>
          <w:p w14:paraId="6F33259E" w14:textId="77777777" w:rsidR="00D07E60" w:rsidRPr="003B3974" w:rsidRDefault="00D07E60" w:rsidP="00684A42">
            <w:pPr>
              <w:tabs>
                <w:tab w:val="decimal" w:pos="1026"/>
              </w:tabs>
              <w:jc w:val="right"/>
              <w:rPr>
                <w:b/>
              </w:rPr>
            </w:pPr>
          </w:p>
        </w:tc>
      </w:tr>
      <w:tr w:rsidR="00BA4B8B" w14:paraId="76BCC5C3" w14:textId="77777777" w:rsidTr="00223974">
        <w:tc>
          <w:tcPr>
            <w:tcW w:w="522" w:type="pct"/>
            <w:vMerge w:val="restart"/>
            <w:tcBorders>
              <w:top w:val="single" w:sz="4" w:space="0" w:color="auto"/>
            </w:tcBorders>
          </w:tcPr>
          <w:p w14:paraId="65A56D0F" w14:textId="77777777" w:rsidR="00BA4B8B" w:rsidRDefault="00BA4B8B" w:rsidP="00BA4B8B">
            <w:r>
              <w:t>2015</w:t>
            </w:r>
          </w:p>
          <w:p w14:paraId="57DB9AAA" w14:textId="4BB6F9C4" w:rsidR="00BA4B8B" w:rsidRDefault="00BA4B8B" w:rsidP="00BA4B8B"/>
          <w:p w14:paraId="1EC95688" w14:textId="71119CBD" w:rsidR="00BA4B8B" w:rsidRDefault="00BA4B8B" w:rsidP="00BA4B8B"/>
          <w:p w14:paraId="2D097307" w14:textId="428E8859" w:rsidR="00BA4B8B" w:rsidRDefault="00BA4B8B" w:rsidP="00BA4B8B"/>
          <w:p w14:paraId="5E8EA24B" w14:textId="22DE3B1D" w:rsidR="00BA4B8B" w:rsidRDefault="00BA4B8B" w:rsidP="00BA4B8B"/>
          <w:p w14:paraId="20F4ED6A" w14:textId="0504C3F5" w:rsidR="00BA4B8B" w:rsidRDefault="00BA4B8B" w:rsidP="00BA4B8B"/>
          <w:p w14:paraId="6F44D100" w14:textId="65C9AD28" w:rsidR="00BA4B8B" w:rsidRDefault="00BA4B8B" w:rsidP="00BA4B8B"/>
          <w:p w14:paraId="3E12D081" w14:textId="6CA735D9" w:rsidR="00BA4B8B" w:rsidRDefault="00BA4B8B" w:rsidP="00BA4B8B"/>
          <w:p w14:paraId="367B09CB" w14:textId="72D5C717" w:rsidR="00BA4B8B" w:rsidRDefault="00BA4B8B" w:rsidP="00BA4B8B"/>
        </w:tc>
        <w:tc>
          <w:tcPr>
            <w:tcW w:w="1160" w:type="pct"/>
            <w:vMerge w:val="restart"/>
            <w:tcBorders>
              <w:top w:val="single" w:sz="4" w:space="0" w:color="auto"/>
            </w:tcBorders>
          </w:tcPr>
          <w:p w14:paraId="293380B2" w14:textId="5C168949" w:rsidR="00BA4B8B" w:rsidRPr="00826C42" w:rsidRDefault="00BA4B8B" w:rsidP="00BA4B8B">
            <w:pPr>
              <w:rPr>
                <w:i/>
              </w:rPr>
            </w:pPr>
            <w:proofErr w:type="spellStart"/>
            <w:r>
              <w:rPr>
                <w:i/>
              </w:rPr>
              <w:t>Core</w:t>
            </w:r>
            <w:proofErr w:type="spellEnd"/>
          </w:p>
        </w:tc>
        <w:tc>
          <w:tcPr>
            <w:tcW w:w="2423" w:type="pct"/>
            <w:tcBorders>
              <w:top w:val="single" w:sz="4" w:space="0" w:color="auto"/>
            </w:tcBorders>
          </w:tcPr>
          <w:p w14:paraId="37DCFF3C" w14:textId="29C480C1" w:rsidR="00BA4B8B" w:rsidRPr="00826C42" w:rsidRDefault="005A66E5" w:rsidP="004C56D9">
            <w:pPr>
              <w:pStyle w:val="ListParagraph"/>
              <w:numPr>
                <w:ilvl w:val="0"/>
                <w:numId w:val="15"/>
              </w:numPr>
            </w:pPr>
            <w:r>
              <w:t>Z</w:t>
            </w:r>
            <w:r w:rsidR="00BA4B8B">
              <w:t>weden</w:t>
            </w:r>
          </w:p>
        </w:tc>
        <w:tc>
          <w:tcPr>
            <w:tcW w:w="895" w:type="pct"/>
            <w:tcBorders>
              <w:top w:val="single" w:sz="4" w:space="0" w:color="auto"/>
            </w:tcBorders>
          </w:tcPr>
          <w:p w14:paraId="34388115" w14:textId="1E99F361" w:rsidR="00BA4B8B" w:rsidRPr="003B3974" w:rsidRDefault="00BA4B8B" w:rsidP="00BA4B8B">
            <w:pPr>
              <w:tabs>
                <w:tab w:val="decimal" w:pos="1026"/>
              </w:tabs>
              <w:jc w:val="right"/>
              <w:rPr>
                <w:b/>
              </w:rPr>
            </w:pPr>
            <w:r>
              <w:t>65</w:t>
            </w:r>
          </w:p>
        </w:tc>
      </w:tr>
      <w:tr w:rsidR="00BA4B8B" w14:paraId="36EE4239" w14:textId="77777777" w:rsidTr="00F91F5E">
        <w:tc>
          <w:tcPr>
            <w:tcW w:w="522" w:type="pct"/>
            <w:vMerge/>
          </w:tcPr>
          <w:p w14:paraId="45128961" w14:textId="6164182A" w:rsidR="00BA4B8B" w:rsidRDefault="00BA4B8B" w:rsidP="00BA4B8B"/>
        </w:tc>
        <w:tc>
          <w:tcPr>
            <w:tcW w:w="1160" w:type="pct"/>
            <w:vMerge/>
          </w:tcPr>
          <w:p w14:paraId="732D218E" w14:textId="2EFB5EF3" w:rsidR="00BA4B8B" w:rsidRPr="00826C42" w:rsidRDefault="00BA4B8B" w:rsidP="00BA4B8B">
            <w:pPr>
              <w:rPr>
                <w:i/>
              </w:rPr>
            </w:pPr>
          </w:p>
        </w:tc>
        <w:tc>
          <w:tcPr>
            <w:tcW w:w="2423" w:type="pct"/>
          </w:tcPr>
          <w:p w14:paraId="256D4431" w14:textId="71F8B48A" w:rsidR="00BA4B8B" w:rsidRPr="00826C42" w:rsidRDefault="00771E5B" w:rsidP="004C56D9">
            <w:pPr>
              <w:pStyle w:val="ListParagraph"/>
              <w:numPr>
                <w:ilvl w:val="0"/>
                <w:numId w:val="15"/>
              </w:numPr>
            </w:pPr>
            <w:r>
              <w:t>Verenigd Koninkrijk</w:t>
            </w:r>
          </w:p>
        </w:tc>
        <w:tc>
          <w:tcPr>
            <w:tcW w:w="895" w:type="pct"/>
          </w:tcPr>
          <w:p w14:paraId="6BDDCC29" w14:textId="3AC7FFC4" w:rsidR="00BA4B8B" w:rsidRDefault="00BA4B8B" w:rsidP="00BA4B8B">
            <w:pPr>
              <w:tabs>
                <w:tab w:val="decimal" w:pos="1026"/>
              </w:tabs>
              <w:jc w:val="right"/>
              <w:rPr>
                <w:b/>
              </w:rPr>
            </w:pPr>
            <w:r>
              <w:t>62</w:t>
            </w:r>
          </w:p>
        </w:tc>
      </w:tr>
      <w:tr w:rsidR="00BA4B8B" w14:paraId="505515C0" w14:textId="77777777" w:rsidTr="00F91F5E">
        <w:tc>
          <w:tcPr>
            <w:tcW w:w="522" w:type="pct"/>
            <w:vMerge/>
          </w:tcPr>
          <w:p w14:paraId="0CCA02B5" w14:textId="500AFB48" w:rsidR="00BA4B8B" w:rsidRDefault="00BA4B8B" w:rsidP="00BA4B8B"/>
        </w:tc>
        <w:tc>
          <w:tcPr>
            <w:tcW w:w="1160" w:type="pct"/>
            <w:vMerge/>
          </w:tcPr>
          <w:p w14:paraId="3CD68D3B" w14:textId="77777777" w:rsidR="00BA4B8B" w:rsidRDefault="00BA4B8B" w:rsidP="00BA4B8B"/>
        </w:tc>
        <w:tc>
          <w:tcPr>
            <w:tcW w:w="2423" w:type="pct"/>
          </w:tcPr>
          <w:p w14:paraId="0DF4E21C" w14:textId="0388A86A" w:rsidR="00BA4B8B" w:rsidRPr="00826C42" w:rsidRDefault="00BA4B8B" w:rsidP="004C56D9">
            <w:pPr>
              <w:pStyle w:val="ListParagraph"/>
              <w:numPr>
                <w:ilvl w:val="0"/>
                <w:numId w:val="15"/>
              </w:numPr>
            </w:pPr>
            <w:r w:rsidRPr="00BA4B8B">
              <w:rPr>
                <w:b/>
              </w:rPr>
              <w:t>Nederland</w:t>
            </w:r>
          </w:p>
        </w:tc>
        <w:tc>
          <w:tcPr>
            <w:tcW w:w="895" w:type="pct"/>
          </w:tcPr>
          <w:p w14:paraId="0692FF34" w14:textId="2BEF1BD8" w:rsidR="00BA4B8B" w:rsidRDefault="00BA4B8B" w:rsidP="00BA4B8B">
            <w:pPr>
              <w:tabs>
                <w:tab w:val="decimal" w:pos="1026"/>
              </w:tabs>
              <w:jc w:val="right"/>
              <w:rPr>
                <w:b/>
              </w:rPr>
            </w:pPr>
            <w:r w:rsidRPr="00BC42C2">
              <w:rPr>
                <w:b/>
              </w:rPr>
              <w:t>50</w:t>
            </w:r>
          </w:p>
        </w:tc>
      </w:tr>
      <w:tr w:rsidR="00771E5B" w14:paraId="6A45FD7B" w14:textId="77777777" w:rsidTr="00F91F5E">
        <w:tc>
          <w:tcPr>
            <w:tcW w:w="522" w:type="pct"/>
            <w:vMerge/>
          </w:tcPr>
          <w:p w14:paraId="481F4DF7" w14:textId="16C7DB2C" w:rsidR="00771E5B" w:rsidRDefault="00771E5B" w:rsidP="00771E5B"/>
        </w:tc>
        <w:tc>
          <w:tcPr>
            <w:tcW w:w="1160" w:type="pct"/>
            <w:vMerge w:val="restart"/>
          </w:tcPr>
          <w:p w14:paraId="73FEC542" w14:textId="62BCE066" w:rsidR="00771E5B" w:rsidRPr="00826C42" w:rsidRDefault="00771E5B" w:rsidP="00771E5B">
            <w:pPr>
              <w:rPr>
                <w:i/>
              </w:rPr>
            </w:pPr>
            <w:r>
              <w:rPr>
                <w:i/>
              </w:rPr>
              <w:t>Non-</w:t>
            </w:r>
            <w:proofErr w:type="spellStart"/>
            <w:r>
              <w:rPr>
                <w:i/>
              </w:rPr>
              <w:t>core</w:t>
            </w:r>
            <w:proofErr w:type="spellEnd"/>
          </w:p>
        </w:tc>
        <w:tc>
          <w:tcPr>
            <w:tcW w:w="2423" w:type="pct"/>
          </w:tcPr>
          <w:p w14:paraId="0FE26E97" w14:textId="49FD304E" w:rsidR="00771E5B" w:rsidRDefault="00771E5B" w:rsidP="004C56D9">
            <w:pPr>
              <w:pStyle w:val="ListParagraph"/>
              <w:numPr>
                <w:ilvl w:val="0"/>
                <w:numId w:val="18"/>
              </w:numPr>
            </w:pPr>
            <w:r>
              <w:t>Verenigde Staten</w:t>
            </w:r>
          </w:p>
        </w:tc>
        <w:tc>
          <w:tcPr>
            <w:tcW w:w="895" w:type="pct"/>
          </w:tcPr>
          <w:p w14:paraId="7CB942D6" w14:textId="5624F44C" w:rsidR="00771E5B" w:rsidRDefault="00771E5B" w:rsidP="00771E5B">
            <w:pPr>
              <w:tabs>
                <w:tab w:val="decimal" w:pos="1026"/>
              </w:tabs>
              <w:jc w:val="right"/>
              <w:rPr>
                <w:b/>
              </w:rPr>
            </w:pPr>
            <w:r>
              <w:t>2,006</w:t>
            </w:r>
          </w:p>
        </w:tc>
      </w:tr>
      <w:tr w:rsidR="00771E5B" w14:paraId="165E37DE" w14:textId="77777777" w:rsidTr="00F91F5E">
        <w:tc>
          <w:tcPr>
            <w:tcW w:w="522" w:type="pct"/>
            <w:vMerge/>
          </w:tcPr>
          <w:p w14:paraId="6510DF59" w14:textId="38B66F33" w:rsidR="00771E5B" w:rsidRDefault="00771E5B" w:rsidP="00771E5B"/>
        </w:tc>
        <w:tc>
          <w:tcPr>
            <w:tcW w:w="1160" w:type="pct"/>
            <w:vMerge/>
          </w:tcPr>
          <w:p w14:paraId="53554394" w14:textId="77777777" w:rsidR="00771E5B" w:rsidRDefault="00771E5B" w:rsidP="00771E5B"/>
        </w:tc>
        <w:tc>
          <w:tcPr>
            <w:tcW w:w="2423" w:type="pct"/>
          </w:tcPr>
          <w:p w14:paraId="090E7456" w14:textId="3D583EEE" w:rsidR="00771E5B" w:rsidRDefault="00771E5B" w:rsidP="004C56D9">
            <w:pPr>
              <w:pStyle w:val="ListParagraph"/>
              <w:numPr>
                <w:ilvl w:val="0"/>
                <w:numId w:val="18"/>
              </w:numPr>
            </w:pPr>
            <w:r>
              <w:t>Verenigd Koninkrijk</w:t>
            </w:r>
          </w:p>
        </w:tc>
        <w:tc>
          <w:tcPr>
            <w:tcW w:w="895" w:type="pct"/>
          </w:tcPr>
          <w:p w14:paraId="0A91CC7B" w14:textId="7DD3D7E6" w:rsidR="00771E5B" w:rsidRDefault="00771E5B" w:rsidP="00771E5B">
            <w:pPr>
              <w:tabs>
                <w:tab w:val="decimal" w:pos="1026"/>
              </w:tabs>
              <w:jc w:val="right"/>
              <w:rPr>
                <w:b/>
              </w:rPr>
            </w:pPr>
            <w:r>
              <w:t>395</w:t>
            </w:r>
          </w:p>
        </w:tc>
      </w:tr>
      <w:tr w:rsidR="00771E5B" w14:paraId="0608B921" w14:textId="77777777" w:rsidTr="00F91F5E">
        <w:tc>
          <w:tcPr>
            <w:tcW w:w="522" w:type="pct"/>
            <w:vMerge/>
          </w:tcPr>
          <w:p w14:paraId="20BBACD8" w14:textId="4BF8365C" w:rsidR="00771E5B" w:rsidRDefault="00771E5B" w:rsidP="00771E5B"/>
        </w:tc>
        <w:tc>
          <w:tcPr>
            <w:tcW w:w="1160" w:type="pct"/>
            <w:vMerge/>
          </w:tcPr>
          <w:p w14:paraId="5AE2AE63" w14:textId="77777777" w:rsidR="00771E5B" w:rsidRDefault="00771E5B" w:rsidP="00771E5B"/>
        </w:tc>
        <w:tc>
          <w:tcPr>
            <w:tcW w:w="2423" w:type="pct"/>
          </w:tcPr>
          <w:p w14:paraId="4548F696" w14:textId="09B14CC9" w:rsidR="00771E5B" w:rsidRDefault="00771E5B" w:rsidP="004C56D9">
            <w:pPr>
              <w:pStyle w:val="ListParagraph"/>
              <w:numPr>
                <w:ilvl w:val="0"/>
                <w:numId w:val="18"/>
              </w:numPr>
            </w:pPr>
            <w:r>
              <w:t>Germany</w:t>
            </w:r>
          </w:p>
        </w:tc>
        <w:tc>
          <w:tcPr>
            <w:tcW w:w="895" w:type="pct"/>
          </w:tcPr>
          <w:p w14:paraId="1B28C48B" w14:textId="763F4792" w:rsidR="00771E5B" w:rsidRDefault="00771E5B" w:rsidP="00771E5B">
            <w:pPr>
              <w:tabs>
                <w:tab w:val="decimal" w:pos="1026"/>
              </w:tabs>
              <w:jc w:val="right"/>
              <w:rPr>
                <w:b/>
              </w:rPr>
            </w:pPr>
            <w:r>
              <w:t>329</w:t>
            </w:r>
          </w:p>
        </w:tc>
      </w:tr>
      <w:tr w:rsidR="00771E5B" w14:paraId="40EE33D9" w14:textId="77777777" w:rsidTr="00F91F5E">
        <w:tc>
          <w:tcPr>
            <w:tcW w:w="522" w:type="pct"/>
            <w:vMerge/>
          </w:tcPr>
          <w:p w14:paraId="2A8B79FF" w14:textId="4B4293C4" w:rsidR="00771E5B" w:rsidRDefault="00771E5B" w:rsidP="00771E5B"/>
        </w:tc>
        <w:tc>
          <w:tcPr>
            <w:tcW w:w="1160" w:type="pct"/>
            <w:vMerge/>
          </w:tcPr>
          <w:p w14:paraId="43D3E6C1" w14:textId="77777777" w:rsidR="00771E5B" w:rsidRDefault="00771E5B" w:rsidP="00771E5B"/>
        </w:tc>
        <w:tc>
          <w:tcPr>
            <w:tcW w:w="2423" w:type="pct"/>
          </w:tcPr>
          <w:p w14:paraId="33486004" w14:textId="2FAD2021" w:rsidR="00771E5B" w:rsidRPr="00771E5B" w:rsidRDefault="00771E5B" w:rsidP="004C56D9">
            <w:pPr>
              <w:pStyle w:val="ListParagraph"/>
              <w:numPr>
                <w:ilvl w:val="0"/>
                <w:numId w:val="19"/>
              </w:numPr>
              <w:rPr>
                <w:b/>
              </w:rPr>
            </w:pPr>
            <w:r w:rsidRPr="00771E5B">
              <w:rPr>
                <w:b/>
              </w:rPr>
              <w:t>Nederland</w:t>
            </w:r>
          </w:p>
        </w:tc>
        <w:tc>
          <w:tcPr>
            <w:tcW w:w="895" w:type="pct"/>
          </w:tcPr>
          <w:p w14:paraId="7A98547D" w14:textId="5C3E9F11" w:rsidR="00771E5B" w:rsidRDefault="004C56D9" w:rsidP="004C56D9">
            <w:pPr>
              <w:tabs>
                <w:tab w:val="decimal" w:pos="1026"/>
              </w:tabs>
              <w:jc w:val="right"/>
              <w:rPr>
                <w:b/>
              </w:rPr>
            </w:pPr>
            <w:r>
              <w:rPr>
                <w:b/>
              </w:rPr>
              <w:t>51</w:t>
            </w:r>
          </w:p>
        </w:tc>
      </w:tr>
      <w:tr w:rsidR="00AD4C00" w14:paraId="2D51EDB1" w14:textId="77777777" w:rsidTr="00F91F5E">
        <w:tc>
          <w:tcPr>
            <w:tcW w:w="522" w:type="pct"/>
            <w:vMerge/>
          </w:tcPr>
          <w:p w14:paraId="2D51EDAD" w14:textId="79DF444B" w:rsidR="00AD4C00" w:rsidRDefault="00AD4C00" w:rsidP="00AD4C00"/>
        </w:tc>
        <w:tc>
          <w:tcPr>
            <w:tcW w:w="1160" w:type="pct"/>
            <w:vMerge w:val="restart"/>
            <w:hideMark/>
          </w:tcPr>
          <w:p w14:paraId="2D51EDAE" w14:textId="33DD5C85" w:rsidR="00AD4C00" w:rsidRDefault="00AD4C00" w:rsidP="00AD4C00">
            <w:r>
              <w:t>Totaal bijdrage</w:t>
            </w:r>
          </w:p>
        </w:tc>
        <w:tc>
          <w:tcPr>
            <w:tcW w:w="2423" w:type="pct"/>
            <w:hideMark/>
          </w:tcPr>
          <w:p w14:paraId="2D51EDAF" w14:textId="4EAA062E" w:rsidR="00AD4C00" w:rsidRDefault="00AD4C00" w:rsidP="004C56D9">
            <w:pPr>
              <w:pStyle w:val="ListParagraph"/>
              <w:numPr>
                <w:ilvl w:val="0"/>
                <w:numId w:val="16"/>
              </w:numPr>
            </w:pPr>
            <w:r>
              <w:t>Verenigde Staten</w:t>
            </w:r>
          </w:p>
        </w:tc>
        <w:tc>
          <w:tcPr>
            <w:tcW w:w="895" w:type="pct"/>
          </w:tcPr>
          <w:p w14:paraId="2D51EDB0" w14:textId="4DE4B836" w:rsidR="00AD4C00" w:rsidRDefault="00AD4C00" w:rsidP="00AD4C00">
            <w:pPr>
              <w:tabs>
                <w:tab w:val="decimal" w:pos="1026"/>
              </w:tabs>
              <w:jc w:val="right"/>
            </w:pPr>
            <w:r>
              <w:t>2,006</w:t>
            </w:r>
          </w:p>
        </w:tc>
      </w:tr>
      <w:tr w:rsidR="00AD4C00" w14:paraId="2D51EDB6" w14:textId="77777777" w:rsidTr="00F91F5E">
        <w:tc>
          <w:tcPr>
            <w:tcW w:w="522" w:type="pct"/>
            <w:vMerge/>
          </w:tcPr>
          <w:p w14:paraId="2D51EDB2" w14:textId="5A526AC6" w:rsidR="00AD4C00" w:rsidRDefault="00AD4C00" w:rsidP="00AD4C00"/>
        </w:tc>
        <w:tc>
          <w:tcPr>
            <w:tcW w:w="1160" w:type="pct"/>
            <w:vMerge/>
          </w:tcPr>
          <w:p w14:paraId="2D51EDB3" w14:textId="77777777" w:rsidR="00AD4C00" w:rsidRDefault="00AD4C00" w:rsidP="00AD4C00"/>
        </w:tc>
        <w:tc>
          <w:tcPr>
            <w:tcW w:w="2423" w:type="pct"/>
            <w:hideMark/>
          </w:tcPr>
          <w:p w14:paraId="2D51EDB4" w14:textId="1F5DEE34" w:rsidR="00AD4C00" w:rsidRDefault="00AD4C00" w:rsidP="004C56D9">
            <w:pPr>
              <w:pStyle w:val="ListParagraph"/>
              <w:numPr>
                <w:ilvl w:val="0"/>
                <w:numId w:val="16"/>
              </w:numPr>
            </w:pPr>
            <w:r>
              <w:t>Verenigd Koninkrijk</w:t>
            </w:r>
          </w:p>
        </w:tc>
        <w:tc>
          <w:tcPr>
            <w:tcW w:w="895" w:type="pct"/>
          </w:tcPr>
          <w:p w14:paraId="2D51EDB5" w14:textId="671785BC" w:rsidR="00AD4C00" w:rsidRDefault="00AD4C00" w:rsidP="00AD4C00">
            <w:pPr>
              <w:tabs>
                <w:tab w:val="decimal" w:pos="1026"/>
              </w:tabs>
              <w:jc w:val="right"/>
            </w:pPr>
            <w:r>
              <w:t>456</w:t>
            </w:r>
          </w:p>
        </w:tc>
      </w:tr>
      <w:tr w:rsidR="00AD4C00" w14:paraId="3F9CB529" w14:textId="77777777" w:rsidTr="00F91F5E">
        <w:tc>
          <w:tcPr>
            <w:tcW w:w="522" w:type="pct"/>
            <w:vMerge/>
          </w:tcPr>
          <w:p w14:paraId="27BCCA2E" w14:textId="77777777" w:rsidR="00AD4C00" w:rsidRDefault="00AD4C00" w:rsidP="00AD4C00"/>
        </w:tc>
        <w:tc>
          <w:tcPr>
            <w:tcW w:w="1160" w:type="pct"/>
            <w:vMerge/>
          </w:tcPr>
          <w:p w14:paraId="10A51ADC" w14:textId="77777777" w:rsidR="00AD4C00" w:rsidRDefault="00AD4C00" w:rsidP="00AD4C00"/>
        </w:tc>
        <w:tc>
          <w:tcPr>
            <w:tcW w:w="2423" w:type="pct"/>
          </w:tcPr>
          <w:p w14:paraId="2904283A" w14:textId="6D8AA774" w:rsidR="00AD4C00" w:rsidRDefault="00AD4C00" w:rsidP="004C56D9">
            <w:pPr>
              <w:pStyle w:val="ListParagraph"/>
              <w:numPr>
                <w:ilvl w:val="0"/>
                <w:numId w:val="16"/>
              </w:numPr>
            </w:pPr>
            <w:r>
              <w:t>Germany</w:t>
            </w:r>
          </w:p>
        </w:tc>
        <w:tc>
          <w:tcPr>
            <w:tcW w:w="895" w:type="pct"/>
          </w:tcPr>
          <w:p w14:paraId="1F88010B" w14:textId="612C2289" w:rsidR="00AD4C00" w:rsidRDefault="00AD4C00" w:rsidP="00AD4C00">
            <w:pPr>
              <w:tabs>
                <w:tab w:val="decimal" w:pos="1026"/>
              </w:tabs>
              <w:jc w:val="right"/>
            </w:pPr>
            <w:r>
              <w:t>329</w:t>
            </w:r>
          </w:p>
        </w:tc>
      </w:tr>
      <w:tr w:rsidR="00AD4C00" w:rsidRPr="003B3974" w14:paraId="2D51EDBB" w14:textId="77777777" w:rsidTr="00223974">
        <w:tc>
          <w:tcPr>
            <w:tcW w:w="522" w:type="pct"/>
            <w:vMerge/>
            <w:tcBorders>
              <w:bottom w:val="single" w:sz="4" w:space="0" w:color="auto"/>
            </w:tcBorders>
          </w:tcPr>
          <w:p w14:paraId="2D51EDB7" w14:textId="052171C9" w:rsidR="00AD4C00" w:rsidRPr="003B3974" w:rsidRDefault="00AD4C00" w:rsidP="00AD4C00">
            <w:pPr>
              <w:ind w:right="-211"/>
              <w:rPr>
                <w:b/>
              </w:rPr>
            </w:pPr>
          </w:p>
        </w:tc>
        <w:tc>
          <w:tcPr>
            <w:tcW w:w="1160" w:type="pct"/>
            <w:vMerge/>
            <w:tcBorders>
              <w:bottom w:val="single" w:sz="4" w:space="0" w:color="auto"/>
            </w:tcBorders>
          </w:tcPr>
          <w:p w14:paraId="2D51EDB8" w14:textId="77777777" w:rsidR="00AD4C00" w:rsidRPr="003B3974" w:rsidRDefault="00AD4C00" w:rsidP="00AD4C00">
            <w:pPr>
              <w:ind w:right="-211"/>
              <w:rPr>
                <w:b/>
              </w:rPr>
            </w:pPr>
          </w:p>
        </w:tc>
        <w:tc>
          <w:tcPr>
            <w:tcW w:w="2423" w:type="pct"/>
            <w:tcBorders>
              <w:bottom w:val="single" w:sz="4" w:space="0" w:color="auto"/>
            </w:tcBorders>
          </w:tcPr>
          <w:p w14:paraId="2D51EDB9" w14:textId="69670C5F" w:rsidR="00AD4C00" w:rsidRPr="00771E5B" w:rsidRDefault="00AD4C00" w:rsidP="004C56D9">
            <w:pPr>
              <w:pStyle w:val="ListParagraph"/>
              <w:numPr>
                <w:ilvl w:val="0"/>
                <w:numId w:val="17"/>
              </w:numPr>
              <w:ind w:right="-211"/>
              <w:rPr>
                <w:b/>
              </w:rPr>
            </w:pPr>
            <w:r w:rsidRPr="00771E5B">
              <w:rPr>
                <w:b/>
              </w:rPr>
              <w:t>Nederland</w:t>
            </w:r>
          </w:p>
        </w:tc>
        <w:tc>
          <w:tcPr>
            <w:tcW w:w="895" w:type="pct"/>
          </w:tcPr>
          <w:p w14:paraId="2D51EDBA" w14:textId="540C75C1" w:rsidR="00AD4C00" w:rsidRPr="003B3974" w:rsidRDefault="00AD4C00" w:rsidP="004C56D9">
            <w:pPr>
              <w:tabs>
                <w:tab w:val="decimal" w:pos="1026"/>
              </w:tabs>
              <w:ind w:right="-211"/>
              <w:jc w:val="right"/>
              <w:rPr>
                <w:b/>
              </w:rPr>
            </w:pPr>
            <w:r>
              <w:rPr>
                <w:b/>
              </w:rPr>
              <w:t>10</w:t>
            </w:r>
            <w:r w:rsidR="004C56D9">
              <w:rPr>
                <w:b/>
              </w:rPr>
              <w:t>1</w:t>
            </w:r>
            <w:r>
              <w:rPr>
                <w:b/>
              </w:rPr>
              <w:t>1</w:t>
            </w:r>
          </w:p>
        </w:tc>
      </w:tr>
      <w:tr w:rsidR="00D07E60" w:rsidRPr="003B3974" w14:paraId="1DAC83F8" w14:textId="77777777" w:rsidTr="00223974">
        <w:tc>
          <w:tcPr>
            <w:tcW w:w="522" w:type="pct"/>
            <w:tcBorders>
              <w:top w:val="single" w:sz="4" w:space="0" w:color="auto"/>
              <w:bottom w:val="single" w:sz="4" w:space="0" w:color="auto"/>
              <w:right w:val="single" w:sz="6" w:space="0" w:color="auto"/>
            </w:tcBorders>
            <w:shd w:val="clear" w:color="auto" w:fill="D9D9D9" w:themeFill="background1" w:themeFillShade="D9"/>
          </w:tcPr>
          <w:p w14:paraId="1B5B67FC" w14:textId="77777777" w:rsidR="00D07E60" w:rsidRPr="003B3974" w:rsidRDefault="00D07E60" w:rsidP="00AD4C00">
            <w:pPr>
              <w:ind w:right="-211"/>
              <w:rPr>
                <w:b/>
              </w:rPr>
            </w:pPr>
          </w:p>
        </w:tc>
        <w:tc>
          <w:tcPr>
            <w:tcW w:w="1160" w:type="pct"/>
            <w:tcBorders>
              <w:top w:val="single" w:sz="4" w:space="0" w:color="auto"/>
              <w:left w:val="single" w:sz="6" w:space="0" w:color="auto"/>
              <w:bottom w:val="single" w:sz="4" w:space="0" w:color="auto"/>
              <w:right w:val="single" w:sz="6" w:space="0" w:color="auto"/>
            </w:tcBorders>
            <w:shd w:val="clear" w:color="auto" w:fill="D9D9D9" w:themeFill="background1" w:themeFillShade="D9"/>
          </w:tcPr>
          <w:p w14:paraId="1CB0F907" w14:textId="77777777" w:rsidR="00D07E60" w:rsidRPr="003B3974" w:rsidRDefault="00D07E60" w:rsidP="00AD4C00">
            <w:pPr>
              <w:ind w:right="-211"/>
              <w:rPr>
                <w:b/>
              </w:rPr>
            </w:pPr>
          </w:p>
        </w:tc>
        <w:tc>
          <w:tcPr>
            <w:tcW w:w="2423" w:type="pct"/>
            <w:tcBorders>
              <w:top w:val="single" w:sz="4" w:space="0" w:color="auto"/>
              <w:left w:val="single" w:sz="6" w:space="0" w:color="auto"/>
              <w:bottom w:val="single" w:sz="4" w:space="0" w:color="auto"/>
              <w:right w:val="single" w:sz="6" w:space="0" w:color="auto"/>
            </w:tcBorders>
            <w:shd w:val="clear" w:color="auto" w:fill="D9D9D9" w:themeFill="background1" w:themeFillShade="D9"/>
          </w:tcPr>
          <w:p w14:paraId="4C4E4A26" w14:textId="77777777" w:rsidR="00D07E60" w:rsidRPr="00771E5B" w:rsidRDefault="00D07E60" w:rsidP="00D07E60">
            <w:pPr>
              <w:pStyle w:val="ListParagraph"/>
              <w:ind w:right="-211"/>
              <w:rPr>
                <w:b/>
              </w:rPr>
            </w:pPr>
            <w:bookmarkStart w:id="27" w:name="_GoBack"/>
            <w:bookmarkEnd w:id="27"/>
          </w:p>
        </w:tc>
        <w:tc>
          <w:tcPr>
            <w:tcW w:w="895" w:type="pct"/>
            <w:tcBorders>
              <w:left w:val="single" w:sz="6" w:space="0" w:color="auto"/>
            </w:tcBorders>
            <w:shd w:val="clear" w:color="auto" w:fill="D9D9D9" w:themeFill="background1" w:themeFillShade="D9"/>
          </w:tcPr>
          <w:p w14:paraId="727F6E04" w14:textId="77777777" w:rsidR="00D07E60" w:rsidRDefault="00D07E60" w:rsidP="004C56D9">
            <w:pPr>
              <w:tabs>
                <w:tab w:val="decimal" w:pos="1026"/>
              </w:tabs>
              <w:ind w:right="-211"/>
              <w:jc w:val="right"/>
              <w:rPr>
                <w:b/>
              </w:rPr>
            </w:pPr>
          </w:p>
        </w:tc>
      </w:tr>
      <w:tr w:rsidR="005A66E5" w:rsidRPr="003B3974" w14:paraId="7A5A50D9" w14:textId="77777777" w:rsidTr="00223974">
        <w:tc>
          <w:tcPr>
            <w:tcW w:w="522" w:type="pct"/>
            <w:vMerge w:val="restart"/>
            <w:tcBorders>
              <w:top w:val="single" w:sz="4" w:space="0" w:color="auto"/>
            </w:tcBorders>
          </w:tcPr>
          <w:p w14:paraId="0C0F7805" w14:textId="77777777" w:rsidR="005A66E5" w:rsidRPr="00826C42" w:rsidRDefault="005A66E5" w:rsidP="005A66E5">
            <w:pPr>
              <w:ind w:right="-211"/>
            </w:pPr>
            <w:r w:rsidRPr="00826C42">
              <w:t>2016</w:t>
            </w:r>
          </w:p>
          <w:p w14:paraId="487C18DB" w14:textId="0C1148A1" w:rsidR="005A66E5" w:rsidRPr="003B3974" w:rsidRDefault="005A66E5" w:rsidP="005A66E5">
            <w:pPr>
              <w:ind w:right="-211"/>
              <w:rPr>
                <w:b/>
              </w:rPr>
            </w:pPr>
          </w:p>
          <w:p w14:paraId="5BD25682" w14:textId="6FC24D02" w:rsidR="005A66E5" w:rsidRPr="003B3974" w:rsidRDefault="005A66E5" w:rsidP="005A66E5">
            <w:pPr>
              <w:ind w:right="-211"/>
              <w:rPr>
                <w:b/>
              </w:rPr>
            </w:pPr>
          </w:p>
          <w:p w14:paraId="2F4DA7F9" w14:textId="7B57BB88" w:rsidR="005A66E5" w:rsidRPr="003B3974" w:rsidRDefault="005A66E5" w:rsidP="005A66E5">
            <w:pPr>
              <w:ind w:right="-211"/>
              <w:rPr>
                <w:b/>
              </w:rPr>
            </w:pPr>
          </w:p>
          <w:p w14:paraId="5131C0C4" w14:textId="7A9D306D" w:rsidR="005A66E5" w:rsidRPr="003B3974" w:rsidRDefault="005A66E5" w:rsidP="005A66E5">
            <w:pPr>
              <w:ind w:right="-211"/>
              <w:rPr>
                <w:b/>
              </w:rPr>
            </w:pPr>
          </w:p>
          <w:p w14:paraId="7CBCF9B7" w14:textId="4703DF60" w:rsidR="005A66E5" w:rsidRPr="003B3974" w:rsidRDefault="005A66E5" w:rsidP="005A66E5">
            <w:pPr>
              <w:ind w:right="-211"/>
              <w:rPr>
                <w:b/>
              </w:rPr>
            </w:pPr>
          </w:p>
          <w:p w14:paraId="78C4CB80" w14:textId="6BDE377E" w:rsidR="005A66E5" w:rsidRPr="003B3974" w:rsidRDefault="005A66E5" w:rsidP="005A66E5">
            <w:pPr>
              <w:ind w:right="-211"/>
              <w:rPr>
                <w:b/>
              </w:rPr>
            </w:pPr>
          </w:p>
          <w:p w14:paraId="30BFEE9A" w14:textId="3CFA5D68" w:rsidR="005A66E5" w:rsidRPr="003B3974" w:rsidRDefault="005A66E5" w:rsidP="005A66E5">
            <w:pPr>
              <w:ind w:right="-211"/>
              <w:rPr>
                <w:b/>
              </w:rPr>
            </w:pPr>
          </w:p>
          <w:p w14:paraId="32989F95" w14:textId="513EC051" w:rsidR="005A66E5" w:rsidRPr="00826C42" w:rsidRDefault="005A66E5" w:rsidP="005A66E5">
            <w:pPr>
              <w:ind w:right="-211"/>
            </w:pPr>
          </w:p>
        </w:tc>
        <w:tc>
          <w:tcPr>
            <w:tcW w:w="1160" w:type="pct"/>
            <w:vMerge w:val="restart"/>
            <w:tcBorders>
              <w:top w:val="single" w:sz="4" w:space="0" w:color="auto"/>
            </w:tcBorders>
          </w:tcPr>
          <w:p w14:paraId="242EF11F" w14:textId="5449A36E" w:rsidR="005A66E5" w:rsidRPr="00826C42" w:rsidRDefault="005A66E5" w:rsidP="005A66E5">
            <w:pPr>
              <w:ind w:right="-211"/>
              <w:rPr>
                <w:i/>
              </w:rPr>
            </w:pPr>
            <w:proofErr w:type="spellStart"/>
            <w:r>
              <w:rPr>
                <w:i/>
              </w:rPr>
              <w:t>Core</w:t>
            </w:r>
            <w:proofErr w:type="spellEnd"/>
          </w:p>
        </w:tc>
        <w:tc>
          <w:tcPr>
            <w:tcW w:w="2423" w:type="pct"/>
            <w:tcBorders>
              <w:top w:val="single" w:sz="4" w:space="0" w:color="auto"/>
            </w:tcBorders>
          </w:tcPr>
          <w:p w14:paraId="37E4EB82" w14:textId="0EBB3FF6" w:rsidR="005A66E5" w:rsidRPr="00826C42" w:rsidRDefault="005A66E5" w:rsidP="005A66E5">
            <w:pPr>
              <w:pStyle w:val="ListParagraph"/>
              <w:numPr>
                <w:ilvl w:val="0"/>
                <w:numId w:val="20"/>
              </w:numPr>
              <w:ind w:right="-211"/>
            </w:pPr>
            <w:r>
              <w:t>Zweden</w:t>
            </w:r>
          </w:p>
        </w:tc>
        <w:tc>
          <w:tcPr>
            <w:tcW w:w="895" w:type="pct"/>
          </w:tcPr>
          <w:p w14:paraId="642BAB5F" w14:textId="2E3F6B54" w:rsidR="005A66E5" w:rsidRPr="003B3974" w:rsidRDefault="005A66E5" w:rsidP="005A66E5">
            <w:pPr>
              <w:tabs>
                <w:tab w:val="decimal" w:pos="1026"/>
              </w:tabs>
              <w:ind w:right="-211"/>
              <w:jc w:val="right"/>
              <w:rPr>
                <w:b/>
              </w:rPr>
            </w:pPr>
            <w:r>
              <w:t>795</w:t>
            </w:r>
          </w:p>
        </w:tc>
      </w:tr>
      <w:tr w:rsidR="005A66E5" w:rsidRPr="003B3974" w14:paraId="07540B38" w14:textId="77777777" w:rsidTr="00F91F5E">
        <w:tc>
          <w:tcPr>
            <w:tcW w:w="522" w:type="pct"/>
            <w:vMerge/>
          </w:tcPr>
          <w:p w14:paraId="56C272BD" w14:textId="4F92EF37" w:rsidR="005A66E5" w:rsidRPr="003B3974" w:rsidRDefault="005A66E5" w:rsidP="005A66E5">
            <w:pPr>
              <w:ind w:right="-211"/>
              <w:rPr>
                <w:b/>
              </w:rPr>
            </w:pPr>
          </w:p>
        </w:tc>
        <w:tc>
          <w:tcPr>
            <w:tcW w:w="1160" w:type="pct"/>
            <w:vMerge/>
          </w:tcPr>
          <w:p w14:paraId="7CB8A7F4" w14:textId="77777777" w:rsidR="005A66E5" w:rsidRPr="003B3974" w:rsidRDefault="005A66E5" w:rsidP="005A66E5">
            <w:pPr>
              <w:ind w:right="-211"/>
              <w:rPr>
                <w:b/>
              </w:rPr>
            </w:pPr>
          </w:p>
        </w:tc>
        <w:tc>
          <w:tcPr>
            <w:tcW w:w="2423" w:type="pct"/>
          </w:tcPr>
          <w:p w14:paraId="5310400A" w14:textId="19539975" w:rsidR="005A66E5" w:rsidRPr="00826C42" w:rsidRDefault="005A66E5" w:rsidP="005A66E5">
            <w:pPr>
              <w:pStyle w:val="ListParagraph"/>
              <w:numPr>
                <w:ilvl w:val="0"/>
                <w:numId w:val="20"/>
              </w:numPr>
              <w:ind w:right="-211"/>
            </w:pPr>
            <w:r>
              <w:t>Verenigd Koninkrijk</w:t>
            </w:r>
          </w:p>
        </w:tc>
        <w:tc>
          <w:tcPr>
            <w:tcW w:w="895" w:type="pct"/>
          </w:tcPr>
          <w:p w14:paraId="317597F9" w14:textId="583C7045" w:rsidR="005A66E5" w:rsidRPr="003B3974" w:rsidRDefault="005A66E5" w:rsidP="005A66E5">
            <w:pPr>
              <w:tabs>
                <w:tab w:val="decimal" w:pos="1026"/>
              </w:tabs>
              <w:ind w:right="-211"/>
              <w:jc w:val="right"/>
              <w:rPr>
                <w:b/>
              </w:rPr>
            </w:pPr>
            <w:r>
              <w:t>512</w:t>
            </w:r>
          </w:p>
        </w:tc>
      </w:tr>
      <w:tr w:rsidR="005A66E5" w:rsidRPr="003B3974" w14:paraId="5789E76D" w14:textId="77777777" w:rsidTr="00F91F5E">
        <w:tc>
          <w:tcPr>
            <w:tcW w:w="522" w:type="pct"/>
            <w:vMerge/>
          </w:tcPr>
          <w:p w14:paraId="534CD8BC" w14:textId="78B9424B" w:rsidR="005A66E5" w:rsidRPr="003B3974" w:rsidRDefault="005A66E5" w:rsidP="005A66E5">
            <w:pPr>
              <w:ind w:right="-211"/>
              <w:rPr>
                <w:b/>
              </w:rPr>
            </w:pPr>
          </w:p>
        </w:tc>
        <w:tc>
          <w:tcPr>
            <w:tcW w:w="1160" w:type="pct"/>
            <w:vMerge/>
          </w:tcPr>
          <w:p w14:paraId="4623772B" w14:textId="77777777" w:rsidR="005A66E5" w:rsidRPr="003B3974" w:rsidRDefault="005A66E5" w:rsidP="005A66E5">
            <w:pPr>
              <w:ind w:right="-211"/>
              <w:rPr>
                <w:b/>
              </w:rPr>
            </w:pPr>
          </w:p>
        </w:tc>
        <w:tc>
          <w:tcPr>
            <w:tcW w:w="2423" w:type="pct"/>
          </w:tcPr>
          <w:p w14:paraId="599F826A" w14:textId="139712AF" w:rsidR="005A66E5" w:rsidRPr="004D1D28" w:rsidRDefault="005A66E5" w:rsidP="005A66E5">
            <w:pPr>
              <w:pStyle w:val="ListParagraph"/>
              <w:numPr>
                <w:ilvl w:val="0"/>
                <w:numId w:val="20"/>
              </w:numPr>
              <w:ind w:right="-211"/>
              <w:rPr>
                <w:b/>
              </w:rPr>
            </w:pPr>
            <w:r w:rsidRPr="004D1D28">
              <w:rPr>
                <w:b/>
              </w:rPr>
              <w:t>Nederland</w:t>
            </w:r>
          </w:p>
        </w:tc>
        <w:tc>
          <w:tcPr>
            <w:tcW w:w="895" w:type="pct"/>
          </w:tcPr>
          <w:p w14:paraId="575AF586" w14:textId="54563BCC" w:rsidR="005A66E5" w:rsidRPr="004D1D28" w:rsidRDefault="005A66E5" w:rsidP="005A66E5">
            <w:pPr>
              <w:tabs>
                <w:tab w:val="decimal" w:pos="1026"/>
              </w:tabs>
              <w:ind w:right="-211"/>
              <w:jc w:val="right"/>
              <w:rPr>
                <w:b/>
              </w:rPr>
            </w:pPr>
            <w:r w:rsidRPr="004D1D28">
              <w:rPr>
                <w:b/>
              </w:rPr>
              <w:t>410</w:t>
            </w:r>
          </w:p>
        </w:tc>
      </w:tr>
      <w:tr w:rsidR="00063000" w:rsidRPr="003B3974" w14:paraId="7A8E73C4" w14:textId="77777777" w:rsidTr="00F91F5E">
        <w:tc>
          <w:tcPr>
            <w:tcW w:w="522" w:type="pct"/>
            <w:vMerge/>
          </w:tcPr>
          <w:p w14:paraId="22791CCC" w14:textId="504D60CC" w:rsidR="00063000" w:rsidRPr="003B3974" w:rsidRDefault="00063000" w:rsidP="00063000">
            <w:pPr>
              <w:ind w:right="-211"/>
              <w:rPr>
                <w:b/>
              </w:rPr>
            </w:pPr>
          </w:p>
        </w:tc>
        <w:tc>
          <w:tcPr>
            <w:tcW w:w="1160" w:type="pct"/>
            <w:vMerge w:val="restart"/>
          </w:tcPr>
          <w:p w14:paraId="1B527D80" w14:textId="0DA300F4" w:rsidR="00063000" w:rsidRPr="00826C42" w:rsidRDefault="00063000" w:rsidP="00063000">
            <w:pPr>
              <w:ind w:right="-211"/>
              <w:rPr>
                <w:i/>
              </w:rPr>
            </w:pPr>
            <w:r>
              <w:rPr>
                <w:i/>
              </w:rPr>
              <w:t>Non-</w:t>
            </w:r>
            <w:proofErr w:type="spellStart"/>
            <w:r>
              <w:rPr>
                <w:i/>
              </w:rPr>
              <w:t>core</w:t>
            </w:r>
            <w:proofErr w:type="spellEnd"/>
          </w:p>
        </w:tc>
        <w:tc>
          <w:tcPr>
            <w:tcW w:w="2423" w:type="pct"/>
          </w:tcPr>
          <w:p w14:paraId="46A5649A" w14:textId="29488A4D" w:rsidR="00063000" w:rsidRPr="005727B7" w:rsidRDefault="00063000" w:rsidP="00063000">
            <w:pPr>
              <w:pStyle w:val="ListParagraph"/>
              <w:numPr>
                <w:ilvl w:val="0"/>
                <w:numId w:val="21"/>
              </w:numPr>
              <w:ind w:right="-211"/>
            </w:pPr>
            <w:r>
              <w:t>Verenigde Staten</w:t>
            </w:r>
          </w:p>
        </w:tc>
        <w:tc>
          <w:tcPr>
            <w:tcW w:w="895" w:type="pct"/>
          </w:tcPr>
          <w:p w14:paraId="52113E43" w14:textId="6C5C7EF1" w:rsidR="00063000" w:rsidRPr="00063000" w:rsidRDefault="00063000" w:rsidP="00063000">
            <w:pPr>
              <w:tabs>
                <w:tab w:val="decimal" w:pos="1026"/>
              </w:tabs>
              <w:ind w:right="-211"/>
              <w:jc w:val="right"/>
            </w:pPr>
            <w:r w:rsidRPr="00063000">
              <w:t>2</w:t>
            </w:r>
            <w:r>
              <w:t>,</w:t>
            </w:r>
            <w:r w:rsidRPr="00063000">
              <w:t>0277</w:t>
            </w:r>
          </w:p>
        </w:tc>
      </w:tr>
      <w:tr w:rsidR="00063000" w:rsidRPr="003B3974" w14:paraId="5910E1AD" w14:textId="77777777" w:rsidTr="00F91F5E">
        <w:tc>
          <w:tcPr>
            <w:tcW w:w="522" w:type="pct"/>
            <w:vMerge/>
          </w:tcPr>
          <w:p w14:paraId="10D58A36" w14:textId="3F311CA0" w:rsidR="00063000" w:rsidRPr="003B3974" w:rsidRDefault="00063000" w:rsidP="00063000">
            <w:pPr>
              <w:ind w:right="-211"/>
              <w:rPr>
                <w:b/>
              </w:rPr>
            </w:pPr>
          </w:p>
        </w:tc>
        <w:tc>
          <w:tcPr>
            <w:tcW w:w="1160" w:type="pct"/>
            <w:vMerge/>
          </w:tcPr>
          <w:p w14:paraId="6B23EEE4" w14:textId="77777777" w:rsidR="00063000" w:rsidRPr="003B3974" w:rsidRDefault="00063000" w:rsidP="00063000">
            <w:pPr>
              <w:ind w:right="-211"/>
              <w:rPr>
                <w:b/>
              </w:rPr>
            </w:pPr>
          </w:p>
        </w:tc>
        <w:tc>
          <w:tcPr>
            <w:tcW w:w="2423" w:type="pct"/>
          </w:tcPr>
          <w:p w14:paraId="5C908049" w14:textId="688B4FE5" w:rsidR="00063000" w:rsidRPr="005727B7" w:rsidRDefault="00063000" w:rsidP="00063000">
            <w:pPr>
              <w:pStyle w:val="ListParagraph"/>
              <w:numPr>
                <w:ilvl w:val="0"/>
                <w:numId w:val="21"/>
              </w:numPr>
              <w:ind w:right="-211"/>
            </w:pPr>
            <w:r>
              <w:t>Europese Commissie</w:t>
            </w:r>
          </w:p>
        </w:tc>
        <w:tc>
          <w:tcPr>
            <w:tcW w:w="895" w:type="pct"/>
          </w:tcPr>
          <w:p w14:paraId="2E965A3F" w14:textId="6808EE40" w:rsidR="00063000" w:rsidRPr="00063000" w:rsidRDefault="00063000" w:rsidP="00063000">
            <w:pPr>
              <w:tabs>
                <w:tab w:val="decimal" w:pos="1026"/>
              </w:tabs>
              <w:ind w:right="-211"/>
              <w:jc w:val="right"/>
            </w:pPr>
            <w:r>
              <w:t>8955</w:t>
            </w:r>
          </w:p>
        </w:tc>
      </w:tr>
      <w:tr w:rsidR="00063000" w:rsidRPr="003B3974" w14:paraId="730919C0" w14:textId="77777777" w:rsidTr="00F91F5E">
        <w:tc>
          <w:tcPr>
            <w:tcW w:w="522" w:type="pct"/>
            <w:vMerge/>
          </w:tcPr>
          <w:p w14:paraId="4497E8BE" w14:textId="230F4E00" w:rsidR="00063000" w:rsidRPr="003B3974" w:rsidRDefault="00063000" w:rsidP="00063000">
            <w:pPr>
              <w:ind w:right="-211"/>
              <w:rPr>
                <w:b/>
              </w:rPr>
            </w:pPr>
          </w:p>
        </w:tc>
        <w:tc>
          <w:tcPr>
            <w:tcW w:w="1160" w:type="pct"/>
            <w:vMerge/>
          </w:tcPr>
          <w:p w14:paraId="12C8A6A1" w14:textId="77777777" w:rsidR="00063000" w:rsidRPr="003B3974" w:rsidRDefault="00063000" w:rsidP="00063000">
            <w:pPr>
              <w:ind w:right="-211"/>
              <w:rPr>
                <w:b/>
              </w:rPr>
            </w:pPr>
          </w:p>
        </w:tc>
        <w:tc>
          <w:tcPr>
            <w:tcW w:w="2423" w:type="pct"/>
          </w:tcPr>
          <w:p w14:paraId="36AD2DA7" w14:textId="00C7CF01" w:rsidR="00063000" w:rsidRPr="005727B7" w:rsidRDefault="00063000" w:rsidP="00063000">
            <w:pPr>
              <w:pStyle w:val="ListParagraph"/>
              <w:numPr>
                <w:ilvl w:val="0"/>
                <w:numId w:val="21"/>
              </w:numPr>
              <w:ind w:right="-211"/>
            </w:pPr>
            <w:r>
              <w:t>Germany</w:t>
            </w:r>
          </w:p>
        </w:tc>
        <w:tc>
          <w:tcPr>
            <w:tcW w:w="895" w:type="pct"/>
          </w:tcPr>
          <w:p w14:paraId="2CBD3E3B" w14:textId="5E5CD41C" w:rsidR="00063000" w:rsidRPr="00063000" w:rsidRDefault="00861983" w:rsidP="00063000">
            <w:pPr>
              <w:tabs>
                <w:tab w:val="decimal" w:pos="1026"/>
              </w:tabs>
              <w:ind w:right="-211"/>
              <w:jc w:val="center"/>
            </w:pPr>
            <w:r>
              <w:t>857</w:t>
            </w:r>
          </w:p>
        </w:tc>
      </w:tr>
      <w:tr w:rsidR="00063000" w:rsidRPr="003B3974" w14:paraId="265F1972" w14:textId="77777777" w:rsidTr="00F91F5E">
        <w:tc>
          <w:tcPr>
            <w:tcW w:w="522" w:type="pct"/>
            <w:vMerge/>
          </w:tcPr>
          <w:p w14:paraId="31A7C31D" w14:textId="7EA47DFC" w:rsidR="00063000" w:rsidRPr="003B3974" w:rsidRDefault="00063000" w:rsidP="00063000">
            <w:pPr>
              <w:ind w:right="-211"/>
              <w:rPr>
                <w:b/>
              </w:rPr>
            </w:pPr>
          </w:p>
        </w:tc>
        <w:tc>
          <w:tcPr>
            <w:tcW w:w="1160" w:type="pct"/>
            <w:vMerge/>
          </w:tcPr>
          <w:p w14:paraId="0BF50315" w14:textId="77777777" w:rsidR="00063000" w:rsidRPr="003B3974" w:rsidRDefault="00063000" w:rsidP="00063000">
            <w:pPr>
              <w:ind w:right="-211"/>
              <w:rPr>
                <w:b/>
              </w:rPr>
            </w:pPr>
          </w:p>
        </w:tc>
        <w:tc>
          <w:tcPr>
            <w:tcW w:w="2423" w:type="pct"/>
          </w:tcPr>
          <w:p w14:paraId="51840469" w14:textId="7D4C1C9D" w:rsidR="00063000" w:rsidRPr="00861983" w:rsidRDefault="00063000" w:rsidP="00861983">
            <w:pPr>
              <w:pStyle w:val="ListParagraph"/>
              <w:numPr>
                <w:ilvl w:val="0"/>
                <w:numId w:val="22"/>
              </w:numPr>
              <w:ind w:right="-211"/>
              <w:rPr>
                <w:b/>
              </w:rPr>
            </w:pPr>
            <w:r w:rsidRPr="00861983">
              <w:rPr>
                <w:b/>
              </w:rPr>
              <w:t>Nederland</w:t>
            </w:r>
          </w:p>
        </w:tc>
        <w:tc>
          <w:tcPr>
            <w:tcW w:w="895" w:type="pct"/>
          </w:tcPr>
          <w:p w14:paraId="50AA0A6F" w14:textId="7411FC25" w:rsidR="00063000" w:rsidRPr="00861983" w:rsidRDefault="00861983" w:rsidP="00063000">
            <w:pPr>
              <w:tabs>
                <w:tab w:val="decimal" w:pos="1026"/>
              </w:tabs>
              <w:ind w:right="-211"/>
              <w:jc w:val="right"/>
              <w:rPr>
                <w:b/>
              </w:rPr>
            </w:pPr>
            <w:r w:rsidRPr="00861983">
              <w:rPr>
                <w:b/>
              </w:rPr>
              <w:t>266</w:t>
            </w:r>
          </w:p>
        </w:tc>
      </w:tr>
      <w:tr w:rsidR="00BA4B8B" w14:paraId="2D51EDC0" w14:textId="77777777" w:rsidTr="00F91F5E">
        <w:tc>
          <w:tcPr>
            <w:tcW w:w="522" w:type="pct"/>
            <w:vMerge/>
          </w:tcPr>
          <w:p w14:paraId="2D51EDBC" w14:textId="7FD37F05" w:rsidR="00BA4B8B" w:rsidRDefault="00BA4B8B" w:rsidP="00BA4B8B">
            <w:pPr>
              <w:ind w:right="-211"/>
            </w:pPr>
          </w:p>
        </w:tc>
        <w:tc>
          <w:tcPr>
            <w:tcW w:w="1160" w:type="pct"/>
            <w:vMerge w:val="restart"/>
            <w:hideMark/>
          </w:tcPr>
          <w:p w14:paraId="2D51EDBD" w14:textId="77777777" w:rsidR="00BA4B8B" w:rsidRDefault="00BA4B8B" w:rsidP="00BA4B8B">
            <w:pPr>
              <w:ind w:right="-211"/>
            </w:pPr>
            <w:r>
              <w:t>Totaal bijdrage</w:t>
            </w:r>
          </w:p>
        </w:tc>
        <w:tc>
          <w:tcPr>
            <w:tcW w:w="2423" w:type="pct"/>
            <w:hideMark/>
          </w:tcPr>
          <w:p w14:paraId="2D51EDBE" w14:textId="593F7C99" w:rsidR="00BA4B8B" w:rsidRDefault="00BA4B8B" w:rsidP="004D1D28">
            <w:pPr>
              <w:pStyle w:val="ListParagraph"/>
              <w:numPr>
                <w:ilvl w:val="0"/>
                <w:numId w:val="23"/>
              </w:numPr>
              <w:ind w:right="-211"/>
            </w:pPr>
            <w:r>
              <w:t>Verenigde Staten</w:t>
            </w:r>
          </w:p>
        </w:tc>
        <w:tc>
          <w:tcPr>
            <w:tcW w:w="895" w:type="pct"/>
          </w:tcPr>
          <w:p w14:paraId="2D51EDBF" w14:textId="185FC9AF" w:rsidR="00BA4B8B" w:rsidRDefault="00BA4B8B" w:rsidP="005A66E5">
            <w:pPr>
              <w:tabs>
                <w:tab w:val="decimal" w:pos="1026"/>
              </w:tabs>
              <w:ind w:right="-211"/>
              <w:jc w:val="right"/>
            </w:pPr>
            <w:r>
              <w:t>2,0</w:t>
            </w:r>
            <w:r w:rsidR="005A66E5">
              <w:t>27</w:t>
            </w:r>
            <w:r>
              <w:t>7</w:t>
            </w:r>
          </w:p>
        </w:tc>
      </w:tr>
      <w:tr w:rsidR="00BA4B8B" w14:paraId="2D51EDC5" w14:textId="77777777" w:rsidTr="00F91F5E">
        <w:tc>
          <w:tcPr>
            <w:tcW w:w="522" w:type="pct"/>
            <w:vMerge/>
          </w:tcPr>
          <w:p w14:paraId="2D51EDC1" w14:textId="67C2DA12" w:rsidR="00BA4B8B" w:rsidRDefault="00BA4B8B" w:rsidP="00BA4B8B">
            <w:pPr>
              <w:ind w:right="-211"/>
            </w:pPr>
          </w:p>
        </w:tc>
        <w:tc>
          <w:tcPr>
            <w:tcW w:w="1160" w:type="pct"/>
            <w:vMerge/>
          </w:tcPr>
          <w:p w14:paraId="2D51EDC2" w14:textId="77777777" w:rsidR="00BA4B8B" w:rsidRDefault="00BA4B8B" w:rsidP="00BA4B8B">
            <w:pPr>
              <w:ind w:right="-211"/>
            </w:pPr>
          </w:p>
        </w:tc>
        <w:tc>
          <w:tcPr>
            <w:tcW w:w="2423" w:type="pct"/>
            <w:hideMark/>
          </w:tcPr>
          <w:p w14:paraId="2D51EDC3" w14:textId="61D7C816" w:rsidR="00BA4B8B" w:rsidRDefault="00BA4B8B" w:rsidP="004D1D28">
            <w:pPr>
              <w:pStyle w:val="ListParagraph"/>
              <w:numPr>
                <w:ilvl w:val="0"/>
                <w:numId w:val="23"/>
              </w:numPr>
              <w:ind w:right="-211"/>
            </w:pPr>
            <w:r>
              <w:t>Europese Commissie</w:t>
            </w:r>
          </w:p>
        </w:tc>
        <w:tc>
          <w:tcPr>
            <w:tcW w:w="895" w:type="pct"/>
          </w:tcPr>
          <w:p w14:paraId="2D51EDC4" w14:textId="182BEA29" w:rsidR="00BA4B8B" w:rsidRDefault="00BA4B8B" w:rsidP="00BA4B8B">
            <w:pPr>
              <w:tabs>
                <w:tab w:val="decimal" w:pos="1026"/>
              </w:tabs>
              <w:ind w:right="-211"/>
              <w:jc w:val="right"/>
            </w:pPr>
            <w:r>
              <w:t>8957</w:t>
            </w:r>
          </w:p>
        </w:tc>
      </w:tr>
      <w:tr w:rsidR="00BA4B8B" w14:paraId="231FBB41" w14:textId="77777777" w:rsidTr="00F91F5E">
        <w:tc>
          <w:tcPr>
            <w:tcW w:w="522" w:type="pct"/>
            <w:vMerge/>
          </w:tcPr>
          <w:p w14:paraId="6877C735" w14:textId="77777777" w:rsidR="00BA4B8B" w:rsidRDefault="00BA4B8B" w:rsidP="00BA4B8B">
            <w:pPr>
              <w:ind w:right="-211"/>
            </w:pPr>
          </w:p>
        </w:tc>
        <w:tc>
          <w:tcPr>
            <w:tcW w:w="1160" w:type="pct"/>
            <w:vMerge/>
          </w:tcPr>
          <w:p w14:paraId="56223410" w14:textId="77777777" w:rsidR="00BA4B8B" w:rsidRDefault="00BA4B8B" w:rsidP="00BA4B8B">
            <w:pPr>
              <w:ind w:right="-211"/>
            </w:pPr>
          </w:p>
        </w:tc>
        <w:tc>
          <w:tcPr>
            <w:tcW w:w="2423" w:type="pct"/>
          </w:tcPr>
          <w:p w14:paraId="793434A8" w14:textId="15F5405B" w:rsidR="00BA4B8B" w:rsidRDefault="005A66E5" w:rsidP="004D1D28">
            <w:pPr>
              <w:pStyle w:val="ListParagraph"/>
              <w:numPr>
                <w:ilvl w:val="0"/>
                <w:numId w:val="23"/>
              </w:numPr>
              <w:ind w:right="-211"/>
            </w:pPr>
            <w:r>
              <w:t>Germany</w:t>
            </w:r>
          </w:p>
        </w:tc>
        <w:tc>
          <w:tcPr>
            <w:tcW w:w="895" w:type="pct"/>
          </w:tcPr>
          <w:p w14:paraId="62D511FB" w14:textId="43230B99" w:rsidR="00BA4B8B" w:rsidRDefault="005A66E5" w:rsidP="00BA4B8B">
            <w:pPr>
              <w:tabs>
                <w:tab w:val="decimal" w:pos="1026"/>
              </w:tabs>
              <w:ind w:right="-211"/>
              <w:jc w:val="right"/>
            </w:pPr>
            <w:r>
              <w:t>8885</w:t>
            </w:r>
          </w:p>
        </w:tc>
      </w:tr>
      <w:tr w:rsidR="00BA4B8B" w:rsidRPr="003B3974" w14:paraId="2D51EDCA" w14:textId="77777777" w:rsidTr="00223974">
        <w:trPr>
          <w:trHeight w:val="56"/>
        </w:trPr>
        <w:tc>
          <w:tcPr>
            <w:tcW w:w="522" w:type="pct"/>
            <w:vMerge/>
            <w:tcBorders>
              <w:bottom w:val="single" w:sz="12" w:space="0" w:color="auto"/>
            </w:tcBorders>
          </w:tcPr>
          <w:p w14:paraId="2D51EDC6" w14:textId="730B6B9A" w:rsidR="00BA4B8B" w:rsidRPr="003B3974" w:rsidRDefault="00BA4B8B" w:rsidP="00BA4B8B">
            <w:pPr>
              <w:ind w:right="-211"/>
              <w:rPr>
                <w:b/>
              </w:rPr>
            </w:pPr>
          </w:p>
        </w:tc>
        <w:tc>
          <w:tcPr>
            <w:tcW w:w="1160" w:type="pct"/>
            <w:vMerge/>
            <w:tcBorders>
              <w:bottom w:val="single" w:sz="12" w:space="0" w:color="auto"/>
            </w:tcBorders>
          </w:tcPr>
          <w:p w14:paraId="2D51EDC7" w14:textId="77777777" w:rsidR="00BA4B8B" w:rsidRPr="003B3974" w:rsidRDefault="00BA4B8B" w:rsidP="00BA4B8B">
            <w:pPr>
              <w:ind w:right="-211"/>
              <w:rPr>
                <w:b/>
              </w:rPr>
            </w:pPr>
          </w:p>
        </w:tc>
        <w:tc>
          <w:tcPr>
            <w:tcW w:w="2423" w:type="pct"/>
            <w:tcBorders>
              <w:bottom w:val="single" w:sz="12" w:space="0" w:color="auto"/>
            </w:tcBorders>
          </w:tcPr>
          <w:p w14:paraId="2D51EDC8" w14:textId="6B1FC000" w:rsidR="00BA4B8B" w:rsidRPr="004D1D28" w:rsidRDefault="00BA4B8B" w:rsidP="004D1D28">
            <w:pPr>
              <w:pStyle w:val="ListParagraph"/>
              <w:numPr>
                <w:ilvl w:val="0"/>
                <w:numId w:val="24"/>
              </w:numPr>
              <w:ind w:right="-211"/>
              <w:rPr>
                <w:b/>
              </w:rPr>
            </w:pPr>
            <w:r w:rsidRPr="004D1D28">
              <w:rPr>
                <w:b/>
              </w:rPr>
              <w:t>Nederland</w:t>
            </w:r>
          </w:p>
        </w:tc>
        <w:tc>
          <w:tcPr>
            <w:tcW w:w="895" w:type="pct"/>
            <w:tcBorders>
              <w:bottom w:val="single" w:sz="12" w:space="0" w:color="auto"/>
            </w:tcBorders>
          </w:tcPr>
          <w:p w14:paraId="2D51EDC9" w14:textId="20EE5A50" w:rsidR="00BA4B8B" w:rsidRPr="003B3974" w:rsidRDefault="00BA4B8B" w:rsidP="00BA4B8B">
            <w:pPr>
              <w:tabs>
                <w:tab w:val="decimal" w:pos="1026"/>
              </w:tabs>
              <w:ind w:right="-211"/>
              <w:jc w:val="right"/>
              <w:rPr>
                <w:b/>
              </w:rPr>
            </w:pPr>
            <w:r w:rsidRPr="003B3974">
              <w:rPr>
                <w:b/>
              </w:rPr>
              <w:t>6</w:t>
            </w:r>
            <w:r>
              <w:rPr>
                <w:b/>
              </w:rPr>
              <w:t>7</w:t>
            </w:r>
            <w:r w:rsidRPr="003B3974">
              <w:rPr>
                <w:b/>
              </w:rPr>
              <w:t>8</w:t>
            </w:r>
          </w:p>
        </w:tc>
      </w:tr>
    </w:tbl>
    <w:p w14:paraId="2D51EDCB" w14:textId="77777777" w:rsidR="00AF4DF8" w:rsidRDefault="00AF4DF8" w:rsidP="00B95FC2"/>
    <w:p w14:paraId="2D51EDCC" w14:textId="58380988" w:rsidR="00AF4DF8" w:rsidRDefault="00AF4DF8">
      <w:pPr>
        <w:spacing w:line="240" w:lineRule="auto"/>
      </w:pPr>
      <w:r>
        <w:br w:type="page"/>
      </w:r>
    </w:p>
    <w:p w14:paraId="2D51EDCD" w14:textId="77777777" w:rsidR="009811DF" w:rsidRDefault="00344A07" w:rsidP="00F24A31">
      <w:pPr>
        <w:pStyle w:val="Heading1"/>
        <w:tabs>
          <w:tab w:val="num" w:pos="0"/>
        </w:tabs>
        <w:spacing w:after="240" w:line="240" w:lineRule="auto"/>
        <w:ind w:hanging="1162"/>
      </w:pPr>
      <w:bookmarkStart w:id="28" w:name="_Toc491260350"/>
      <w:r>
        <w:lastRenderedPageBreak/>
        <w:t>4</w:t>
      </w:r>
      <w:r w:rsidR="00F24A31">
        <w:t xml:space="preserve"> </w:t>
      </w:r>
      <w:r w:rsidR="00F24A31">
        <w:tab/>
      </w:r>
      <w:r w:rsidR="006C1EB0">
        <w:t>Institutionele aspecten</w:t>
      </w:r>
      <w:r w:rsidR="00D745A7">
        <w:t xml:space="preserve"> </w:t>
      </w:r>
      <w:r w:rsidR="009B1466">
        <w:t xml:space="preserve">en functioneren </w:t>
      </w:r>
      <w:r w:rsidR="00D745A7">
        <w:t>van de organisatie</w:t>
      </w:r>
      <w:bookmarkEnd w:id="28"/>
    </w:p>
    <w:p w14:paraId="2D51EDCE" w14:textId="77777777" w:rsidR="00344A07" w:rsidRPr="00344A07" w:rsidRDefault="00344A07" w:rsidP="004C56D9">
      <w:pPr>
        <w:pStyle w:val="ListParagraph"/>
        <w:keepNext/>
        <w:widowControl w:val="0"/>
        <w:numPr>
          <w:ilvl w:val="0"/>
          <w:numId w:val="7"/>
        </w:numPr>
        <w:tabs>
          <w:tab w:val="left" w:pos="-1162"/>
          <w:tab w:val="left" w:pos="0"/>
        </w:tabs>
        <w:spacing w:before="200" w:line="240" w:lineRule="auto"/>
        <w:outlineLvl w:val="1"/>
        <w:rPr>
          <w:rFonts w:cs="Arial"/>
          <w:b/>
          <w:iCs/>
          <w:vanish/>
          <w:kern w:val="32"/>
          <w:szCs w:val="28"/>
        </w:rPr>
      </w:pPr>
    </w:p>
    <w:p w14:paraId="2D51EDCF" w14:textId="77777777" w:rsidR="00344A07" w:rsidRPr="00344A07" w:rsidRDefault="00344A07" w:rsidP="004C56D9">
      <w:pPr>
        <w:pStyle w:val="ListParagraph"/>
        <w:keepNext/>
        <w:widowControl w:val="0"/>
        <w:numPr>
          <w:ilvl w:val="0"/>
          <w:numId w:val="7"/>
        </w:numPr>
        <w:tabs>
          <w:tab w:val="left" w:pos="-1162"/>
          <w:tab w:val="left" w:pos="0"/>
        </w:tabs>
        <w:spacing w:before="200" w:line="240" w:lineRule="auto"/>
        <w:outlineLvl w:val="1"/>
        <w:rPr>
          <w:rFonts w:cs="Arial"/>
          <w:b/>
          <w:iCs/>
          <w:vanish/>
          <w:kern w:val="32"/>
          <w:szCs w:val="28"/>
        </w:rPr>
      </w:pPr>
    </w:p>
    <w:p w14:paraId="2D51EDD0" w14:textId="77777777" w:rsidR="00D745A7" w:rsidRPr="004D372F" w:rsidRDefault="00743337" w:rsidP="004C56D9">
      <w:pPr>
        <w:pStyle w:val="Heading2"/>
        <w:numPr>
          <w:ilvl w:val="1"/>
          <w:numId w:val="7"/>
        </w:numPr>
        <w:tabs>
          <w:tab w:val="left" w:pos="-1162"/>
          <w:tab w:val="left" w:pos="0"/>
        </w:tabs>
        <w:spacing w:line="240" w:lineRule="auto"/>
        <w:ind w:left="0" w:hanging="1134"/>
      </w:pPr>
      <w:bookmarkStart w:id="29" w:name="_Toc491260351"/>
      <w:r>
        <w:t xml:space="preserve">Strategie en </w:t>
      </w:r>
      <w:r w:rsidR="002A310E">
        <w:t>verantwoording</w:t>
      </w:r>
      <w:bookmarkEnd w:id="29"/>
    </w:p>
    <w:p w14:paraId="2D51EDD2" w14:textId="39C0371C" w:rsidR="002C29CB" w:rsidRPr="00A93A07" w:rsidRDefault="002C29CB" w:rsidP="000D0473">
      <w:r>
        <w:t>WFP heeft een helder kernmandaat dat wordt geoperationaliseerd in het Strategisch Plan</w:t>
      </w:r>
      <w:r w:rsidR="00FE1DBD">
        <w:t xml:space="preserve"> (SP)</w:t>
      </w:r>
      <w:r>
        <w:t>. Dit plan heeft een 4-jarige cyclus. Het S</w:t>
      </w:r>
      <w:r w:rsidR="003F6E3E">
        <w:t>P</w:t>
      </w:r>
      <w:r>
        <w:t xml:space="preserve"> 2014-2017 h</w:t>
      </w:r>
      <w:r w:rsidR="003F6E3E">
        <w:t>ad</w:t>
      </w:r>
      <w:r>
        <w:t xml:space="preserve"> vier </w:t>
      </w:r>
      <w:r w:rsidRPr="00166F0B">
        <w:t>strategische doelstellingen</w:t>
      </w:r>
      <w:r>
        <w:t xml:space="preserve">: (1) </w:t>
      </w:r>
      <w:r w:rsidR="00C852C7">
        <w:t xml:space="preserve">het </w:t>
      </w:r>
      <w:r>
        <w:t xml:space="preserve">redden </w:t>
      </w:r>
      <w:r w:rsidRPr="00663B92">
        <w:t xml:space="preserve">van levens en </w:t>
      </w:r>
      <w:r>
        <w:t xml:space="preserve">beschermen van </w:t>
      </w:r>
      <w:proofErr w:type="spellStart"/>
      <w:r w:rsidRPr="00663B92">
        <w:rPr>
          <w:i/>
        </w:rPr>
        <w:t>livelihoods</w:t>
      </w:r>
      <w:proofErr w:type="spellEnd"/>
      <w:r w:rsidRPr="00663B92">
        <w:t xml:space="preserve"> in noodsituaties;</w:t>
      </w:r>
      <w:r>
        <w:t xml:space="preserve"> (2) </w:t>
      </w:r>
      <w:r w:rsidR="00C852C7">
        <w:t xml:space="preserve">het </w:t>
      </w:r>
      <w:r>
        <w:t>o</w:t>
      </w:r>
      <w:r w:rsidRPr="00166F0B">
        <w:t xml:space="preserve">ndersteunen of herstellen van voedselzekerheid en </w:t>
      </w:r>
      <w:proofErr w:type="spellStart"/>
      <w:r w:rsidRPr="00166F0B">
        <w:rPr>
          <w:i/>
        </w:rPr>
        <w:t>nutrition</w:t>
      </w:r>
      <w:proofErr w:type="spellEnd"/>
      <w:r w:rsidRPr="00166F0B">
        <w:t>, en het</w:t>
      </w:r>
      <w:r>
        <w:t xml:space="preserve"> herbouwen van </w:t>
      </w:r>
      <w:proofErr w:type="spellStart"/>
      <w:r w:rsidRPr="00166F0B">
        <w:rPr>
          <w:i/>
        </w:rPr>
        <w:t>livelihoods</w:t>
      </w:r>
      <w:proofErr w:type="spellEnd"/>
      <w:r w:rsidRPr="00166F0B">
        <w:t xml:space="preserve"> in fragi</w:t>
      </w:r>
      <w:r>
        <w:t>e</w:t>
      </w:r>
      <w:r w:rsidRPr="00166F0B">
        <w:t xml:space="preserve">le </w:t>
      </w:r>
      <w:r>
        <w:t>contexten en post-conflict of post-rampen situaties</w:t>
      </w:r>
      <w:r w:rsidRPr="00166F0B">
        <w:t>;</w:t>
      </w:r>
      <w:r>
        <w:t xml:space="preserve"> (3) </w:t>
      </w:r>
      <w:r w:rsidR="00C852C7">
        <w:t xml:space="preserve">het </w:t>
      </w:r>
      <w:r>
        <w:t>verlagen van r</w:t>
      </w:r>
      <w:r w:rsidRPr="00166F0B">
        <w:t xml:space="preserve">isico’s en </w:t>
      </w:r>
      <w:r w:rsidR="00C852C7">
        <w:t xml:space="preserve">daarbij </w:t>
      </w:r>
      <w:r w:rsidRPr="00166F0B">
        <w:t>mensen, gemeenschappen en landen in staat stellen</w:t>
      </w:r>
      <w:r>
        <w:t xml:space="preserve"> om in hun eigen voedsel- en voedingsbehoeften te voorzien; en (4) </w:t>
      </w:r>
      <w:r w:rsidR="00C852C7">
        <w:t xml:space="preserve">het </w:t>
      </w:r>
      <w:r>
        <w:t>v</w:t>
      </w:r>
      <w:r w:rsidRPr="00166F0B">
        <w:t xml:space="preserve">erminderen van </w:t>
      </w:r>
      <w:r>
        <w:t xml:space="preserve">chronische honger en </w:t>
      </w:r>
      <w:r w:rsidRPr="00166F0B">
        <w:t>ondervoeding.</w:t>
      </w:r>
      <w:r w:rsidR="00F91F5E">
        <w:t xml:space="preserve"> </w:t>
      </w:r>
      <w:r w:rsidRPr="00663B92">
        <w:t xml:space="preserve">WFP heeft </w:t>
      </w:r>
      <w:r>
        <w:t xml:space="preserve">zowel een humanitair als een </w:t>
      </w:r>
      <w:r w:rsidRPr="00663B92">
        <w:t>meer structure</w:t>
      </w:r>
      <w:r>
        <w:t>el</w:t>
      </w:r>
      <w:r w:rsidRPr="00663B92">
        <w:t xml:space="preserve"> ontwikkelings</w:t>
      </w:r>
      <w:r>
        <w:t>mandaat</w:t>
      </w:r>
      <w:r w:rsidR="006C10EA">
        <w:t xml:space="preserve">. </w:t>
      </w:r>
      <w:r>
        <w:t>Het duurzaam en structureel versterken van voedsel</w:t>
      </w:r>
      <w:r w:rsidR="00A93A07">
        <w:t>-</w:t>
      </w:r>
      <w:r>
        <w:t xml:space="preserve"> en voedingszekerheid is effectiever (</w:t>
      </w:r>
      <w:r w:rsidRPr="00663B92">
        <w:t>en goedkoper</w:t>
      </w:r>
      <w:r>
        <w:t>)</w:t>
      </w:r>
      <w:r w:rsidRPr="00663B92">
        <w:t xml:space="preserve"> dan voedselhulp na een ramp</w:t>
      </w:r>
      <w:r>
        <w:t xml:space="preserve">. </w:t>
      </w:r>
      <w:r w:rsidR="001C01F6">
        <w:t xml:space="preserve">Voor Nederland ligt de meerwaarde van WFP echter voornamelijk op het humanitaire vlak. </w:t>
      </w:r>
      <w:r w:rsidRPr="00663B92">
        <w:t xml:space="preserve">De ontwikkelingsgerichte activiteiten moeten </w:t>
      </w:r>
      <w:r w:rsidR="00B6601B">
        <w:t xml:space="preserve">hierbij </w:t>
      </w:r>
      <w:r w:rsidRPr="00663B92">
        <w:t>complementair zijn aan het werk van andere organisaties (</w:t>
      </w:r>
      <w:r>
        <w:t>waaronder</w:t>
      </w:r>
      <w:r w:rsidRPr="00663B92">
        <w:t xml:space="preserve"> FAO en IFAD), duidelijk tijdgebonden </w:t>
      </w:r>
      <w:r>
        <w:t>zijn</w:t>
      </w:r>
      <w:r w:rsidRPr="00663B92">
        <w:t xml:space="preserve"> en er moet een goede </w:t>
      </w:r>
      <w:r>
        <w:t>overdrachts</w:t>
      </w:r>
      <w:r w:rsidRPr="00663B92">
        <w:t>strategie voorhanden zijn (bijv</w:t>
      </w:r>
      <w:r>
        <w:t>oorbeeld</w:t>
      </w:r>
      <w:r w:rsidRPr="00663B92">
        <w:t xml:space="preserve"> aan FAO, IFAD, UNICEF</w:t>
      </w:r>
      <w:r>
        <w:t>, UNDP, lokale ontwikkelingspartners</w:t>
      </w:r>
      <w:r w:rsidRPr="00663B92">
        <w:t xml:space="preserve"> of nationale overheden). </w:t>
      </w:r>
      <w:r>
        <w:t xml:space="preserve">Het SP voor de komende jaren (2017-2021) </w:t>
      </w:r>
      <w:r w:rsidR="006053D2">
        <w:t xml:space="preserve">heeft doelstellingen die in lijn zijn met de </w:t>
      </w:r>
      <w:r>
        <w:t>brede SDG agenda</w:t>
      </w:r>
      <w:r w:rsidR="006053D2">
        <w:t xml:space="preserve">. </w:t>
      </w:r>
      <w:r w:rsidR="00BA6C14">
        <w:t xml:space="preserve">De focus van </w:t>
      </w:r>
      <w:r w:rsidR="00BA6C14" w:rsidRPr="00BA6C14">
        <w:t>WFP</w:t>
      </w:r>
      <w:r w:rsidR="006053D2" w:rsidRPr="00BA6C14">
        <w:t xml:space="preserve"> ligt hierbij </w:t>
      </w:r>
      <w:r w:rsidR="00BA6C14" w:rsidRPr="00BA6C14">
        <w:t>op</w:t>
      </w:r>
      <w:r w:rsidRPr="00BA6C14">
        <w:t xml:space="preserve"> SDG 2 (</w:t>
      </w:r>
      <w:proofErr w:type="spellStart"/>
      <w:r w:rsidRPr="00BA6C14">
        <w:rPr>
          <w:i/>
        </w:rPr>
        <w:t>Achieving</w:t>
      </w:r>
      <w:proofErr w:type="spellEnd"/>
      <w:r w:rsidRPr="00BA6C14">
        <w:rPr>
          <w:i/>
        </w:rPr>
        <w:t xml:space="preserve"> Zero Hunger</w:t>
      </w:r>
      <w:r w:rsidRPr="00BA6C14">
        <w:t>) en 17 (</w:t>
      </w:r>
      <w:r w:rsidRPr="00BA6C14">
        <w:rPr>
          <w:i/>
        </w:rPr>
        <w:t xml:space="preserve">Partner </w:t>
      </w:r>
      <w:proofErr w:type="spellStart"/>
      <w:r w:rsidRPr="00BA6C14">
        <w:rPr>
          <w:i/>
        </w:rPr>
        <w:t>to</w:t>
      </w:r>
      <w:proofErr w:type="spellEnd"/>
      <w:r w:rsidRPr="00BA6C14">
        <w:rPr>
          <w:i/>
        </w:rPr>
        <w:t xml:space="preserve"> support </w:t>
      </w:r>
      <w:proofErr w:type="spellStart"/>
      <w:r w:rsidRPr="00BA6C14">
        <w:rPr>
          <w:i/>
        </w:rPr>
        <w:t>the</w:t>
      </w:r>
      <w:proofErr w:type="spellEnd"/>
      <w:r w:rsidRPr="00BA6C14">
        <w:rPr>
          <w:i/>
        </w:rPr>
        <w:t xml:space="preserve"> </w:t>
      </w:r>
      <w:proofErr w:type="spellStart"/>
      <w:r w:rsidRPr="00BA6C14">
        <w:rPr>
          <w:i/>
        </w:rPr>
        <w:t>implementation</w:t>
      </w:r>
      <w:proofErr w:type="spellEnd"/>
      <w:r w:rsidRPr="00BA6C14">
        <w:rPr>
          <w:i/>
        </w:rPr>
        <w:t xml:space="preserve"> of </w:t>
      </w:r>
      <w:proofErr w:type="spellStart"/>
      <w:r w:rsidRPr="00BA6C14">
        <w:rPr>
          <w:i/>
        </w:rPr>
        <w:t>the</w:t>
      </w:r>
      <w:proofErr w:type="spellEnd"/>
      <w:r w:rsidRPr="00BA6C14">
        <w:rPr>
          <w:i/>
        </w:rPr>
        <w:t xml:space="preserve"> </w:t>
      </w:r>
      <w:proofErr w:type="spellStart"/>
      <w:r w:rsidRPr="00BA6C14">
        <w:rPr>
          <w:i/>
        </w:rPr>
        <w:t>SDGs</w:t>
      </w:r>
      <w:proofErr w:type="spellEnd"/>
      <w:r w:rsidRPr="00BA6C14">
        <w:t>)</w:t>
      </w:r>
      <w:r w:rsidR="001C01F6" w:rsidRPr="00BA6C14">
        <w:t xml:space="preserve"> met 5 strategische doelen: 1) </w:t>
      </w:r>
      <w:r w:rsidR="009164C9" w:rsidRPr="00BA6C14">
        <w:rPr>
          <w:i/>
        </w:rPr>
        <w:t xml:space="preserve">end </w:t>
      </w:r>
      <w:proofErr w:type="spellStart"/>
      <w:r w:rsidR="009164C9" w:rsidRPr="00BA6C14">
        <w:rPr>
          <w:i/>
        </w:rPr>
        <w:t>hunger</w:t>
      </w:r>
      <w:proofErr w:type="spellEnd"/>
      <w:r w:rsidR="001C01F6" w:rsidRPr="00BA6C14">
        <w:t xml:space="preserve">, 2) </w:t>
      </w:r>
      <w:proofErr w:type="spellStart"/>
      <w:r w:rsidR="009164C9" w:rsidRPr="00BA6C14">
        <w:rPr>
          <w:i/>
        </w:rPr>
        <w:t>improve</w:t>
      </w:r>
      <w:proofErr w:type="spellEnd"/>
      <w:r w:rsidR="009164C9" w:rsidRPr="00BA6C14">
        <w:rPr>
          <w:i/>
        </w:rPr>
        <w:t xml:space="preserve"> </w:t>
      </w:r>
      <w:proofErr w:type="spellStart"/>
      <w:r w:rsidR="009164C9" w:rsidRPr="00BA6C14">
        <w:rPr>
          <w:i/>
        </w:rPr>
        <w:t>nutrition</w:t>
      </w:r>
      <w:proofErr w:type="spellEnd"/>
      <w:r w:rsidR="001C01F6" w:rsidRPr="00BA6C14">
        <w:t xml:space="preserve">, 3) </w:t>
      </w:r>
      <w:proofErr w:type="spellStart"/>
      <w:r w:rsidR="009164C9" w:rsidRPr="00BA6C14">
        <w:rPr>
          <w:i/>
        </w:rPr>
        <w:t>achieve</w:t>
      </w:r>
      <w:proofErr w:type="spellEnd"/>
      <w:r w:rsidR="009164C9" w:rsidRPr="00BA6C14">
        <w:rPr>
          <w:i/>
        </w:rPr>
        <w:t xml:space="preserve"> food security</w:t>
      </w:r>
      <w:r w:rsidR="001C01F6" w:rsidRPr="00BA6C14">
        <w:t xml:space="preserve">, 4) </w:t>
      </w:r>
      <w:r w:rsidR="009164C9" w:rsidRPr="00BA6C14">
        <w:rPr>
          <w:i/>
        </w:rPr>
        <w:t xml:space="preserve">support SDG </w:t>
      </w:r>
      <w:proofErr w:type="spellStart"/>
      <w:r w:rsidR="009164C9" w:rsidRPr="00BA6C14">
        <w:rPr>
          <w:i/>
        </w:rPr>
        <w:t>implementation</w:t>
      </w:r>
      <w:proofErr w:type="spellEnd"/>
      <w:r w:rsidR="001C01F6" w:rsidRPr="00BA6C14">
        <w:t xml:space="preserve">, en 5) </w:t>
      </w:r>
      <w:r w:rsidR="009164C9" w:rsidRPr="00BA6C14">
        <w:rPr>
          <w:i/>
        </w:rPr>
        <w:t xml:space="preserve">partner </w:t>
      </w:r>
      <w:proofErr w:type="spellStart"/>
      <w:r w:rsidR="009164C9" w:rsidRPr="00BA6C14">
        <w:rPr>
          <w:i/>
        </w:rPr>
        <w:t>for</w:t>
      </w:r>
      <w:proofErr w:type="spellEnd"/>
      <w:r w:rsidR="009164C9" w:rsidRPr="00BA6C14">
        <w:rPr>
          <w:i/>
        </w:rPr>
        <w:t xml:space="preserve"> SDG </w:t>
      </w:r>
      <w:proofErr w:type="spellStart"/>
      <w:r w:rsidR="009164C9" w:rsidRPr="00BA6C14">
        <w:rPr>
          <w:i/>
        </w:rPr>
        <w:t>results</w:t>
      </w:r>
      <w:proofErr w:type="spellEnd"/>
      <w:r w:rsidR="001C01F6" w:rsidRPr="00BA6C14">
        <w:t xml:space="preserve">. </w:t>
      </w:r>
      <w:r w:rsidR="001C01F6" w:rsidRPr="001C01F6">
        <w:t xml:space="preserve">Hoewel </w:t>
      </w:r>
      <w:proofErr w:type="spellStart"/>
      <w:r w:rsidR="001C01F6" w:rsidRPr="001C01F6">
        <w:t>WFP’s</w:t>
      </w:r>
      <w:proofErr w:type="spellEnd"/>
      <w:r w:rsidR="001C01F6" w:rsidRPr="001C01F6">
        <w:t xml:space="preserve"> prioriteit bij </w:t>
      </w:r>
      <w:r w:rsidR="00BA6C14" w:rsidRPr="001C01F6">
        <w:t>humanita</w:t>
      </w:r>
      <w:r w:rsidR="00BA6C14">
        <w:t>i</w:t>
      </w:r>
      <w:r w:rsidR="00BA6C14" w:rsidRPr="001C01F6">
        <w:t>re</w:t>
      </w:r>
      <w:r w:rsidR="001C01F6" w:rsidRPr="001C01F6">
        <w:t xml:space="preserve"> hulp blijft liggen, biedt het </w:t>
      </w:r>
      <w:r w:rsidR="00C852C7">
        <w:t xml:space="preserve">nieuwe </w:t>
      </w:r>
      <w:r w:rsidR="003F6E3E">
        <w:t>SP</w:t>
      </w:r>
      <w:r w:rsidR="001C01F6" w:rsidRPr="001C01F6">
        <w:t xml:space="preserve"> </w:t>
      </w:r>
      <w:r w:rsidR="001C01F6">
        <w:t xml:space="preserve">met deze doelstellingen </w:t>
      </w:r>
      <w:r w:rsidR="001C01F6" w:rsidRPr="001C01F6">
        <w:t>ook meer ruimte voo</w:t>
      </w:r>
      <w:r w:rsidR="001C01F6">
        <w:t xml:space="preserve">r activiteiten </w:t>
      </w:r>
      <w:r w:rsidR="001C01F6" w:rsidRPr="001C01F6">
        <w:t>op het gebied van weer</w:t>
      </w:r>
      <w:r w:rsidR="001C01F6">
        <w:t xml:space="preserve">baarheid en ontwikkeling. </w:t>
      </w:r>
      <w:r w:rsidR="00FE1DBD" w:rsidRPr="001C01F6">
        <w:t xml:space="preserve">Het SP heeft geen </w:t>
      </w:r>
      <w:proofErr w:type="spellStart"/>
      <w:r w:rsidR="00FE1DBD" w:rsidRPr="001C01F6">
        <w:rPr>
          <w:i/>
        </w:rPr>
        <w:t>Theory</w:t>
      </w:r>
      <w:proofErr w:type="spellEnd"/>
      <w:r w:rsidR="00FE1DBD" w:rsidRPr="001C01F6">
        <w:rPr>
          <w:i/>
        </w:rPr>
        <w:t xml:space="preserve"> of Change. </w:t>
      </w:r>
      <w:r w:rsidR="00FE1DBD">
        <w:t xml:space="preserve">De meer specifieke (thematische) beleidsdocumenten, die een uitwerking zijn van het SP, hebben </w:t>
      </w:r>
      <w:r w:rsidR="003F6E3E">
        <w:t xml:space="preserve">die </w:t>
      </w:r>
      <w:r w:rsidR="00FE1DBD">
        <w:t>wel</w:t>
      </w:r>
      <w:r w:rsidR="003F6E3E">
        <w:t xml:space="preserve">. </w:t>
      </w:r>
      <w:proofErr w:type="spellStart"/>
      <w:r w:rsidR="003C2557">
        <w:t>WFP’s</w:t>
      </w:r>
      <w:proofErr w:type="spellEnd"/>
      <w:r w:rsidR="003C2557">
        <w:t xml:space="preserve"> projecten en landenprogramma’s zijn in lijn met het nationale beleid en </w:t>
      </w:r>
      <w:r w:rsidR="00A93A07">
        <w:t>het VN landenraamwerk</w:t>
      </w:r>
      <w:r w:rsidR="003C2557">
        <w:t>.</w:t>
      </w:r>
    </w:p>
    <w:p w14:paraId="2D51EDD3" w14:textId="77777777" w:rsidR="002C29CB" w:rsidRDefault="002C29CB" w:rsidP="002C29CB"/>
    <w:p w14:paraId="2D51EDD4" w14:textId="76D39120" w:rsidR="002C29CB" w:rsidRPr="00E92B54" w:rsidRDefault="006053D2" w:rsidP="000D0473">
      <w:r>
        <w:t>De drie Romeinse instellingen (</w:t>
      </w:r>
      <w:r w:rsidR="002C29CB" w:rsidRPr="00663B92">
        <w:t>FAO, IFAD en WFP</w:t>
      </w:r>
      <w:r>
        <w:t>)</w:t>
      </w:r>
      <w:r w:rsidR="002C29CB" w:rsidRPr="00663B92">
        <w:t xml:space="preserve"> werken </w:t>
      </w:r>
      <w:r w:rsidR="00E2424B">
        <w:t>in toenemende mate</w:t>
      </w:r>
      <w:r>
        <w:t xml:space="preserve"> samen o</w:t>
      </w:r>
      <w:r w:rsidR="002C29CB" w:rsidRPr="00663B92">
        <w:t xml:space="preserve">m </w:t>
      </w:r>
      <w:r>
        <w:t>hun</w:t>
      </w:r>
      <w:r w:rsidR="002C29CB" w:rsidRPr="00663B92">
        <w:t xml:space="preserve"> verschillende activiteiten </w:t>
      </w:r>
      <w:r>
        <w:t xml:space="preserve">complementair te laten zijn en ook om </w:t>
      </w:r>
      <w:r w:rsidR="002C29CB" w:rsidRPr="00663B92">
        <w:rPr>
          <w:i/>
        </w:rPr>
        <w:t xml:space="preserve">mission creep </w:t>
      </w:r>
      <w:r w:rsidR="002C29CB" w:rsidRPr="00663B92">
        <w:t>te voorkomen.</w:t>
      </w:r>
      <w:r>
        <w:t xml:space="preserve"> WFP gaat uitgebreid in op haar</w:t>
      </w:r>
      <w:r w:rsidR="002C29CB">
        <w:t xml:space="preserve"> rol vis-à-vis andere actoren in het S</w:t>
      </w:r>
      <w:r w:rsidR="003F6E3E">
        <w:t>P</w:t>
      </w:r>
      <w:r>
        <w:t xml:space="preserve">. WFP heeft </w:t>
      </w:r>
      <w:r w:rsidR="00120534">
        <w:t xml:space="preserve">zo’n </w:t>
      </w:r>
      <w:r>
        <w:t>10 jaar geleden een grote transitie ingezet in het operationaliseren van haar mandaat.</w:t>
      </w:r>
      <w:r w:rsidR="000D0473">
        <w:t xml:space="preserve"> </w:t>
      </w:r>
      <w:r w:rsidR="00BA0997">
        <w:t>In het S</w:t>
      </w:r>
      <w:r w:rsidR="003F6E3E">
        <w:t>P</w:t>
      </w:r>
      <w:r w:rsidR="00BA0997">
        <w:t xml:space="preserve"> 2008-2013, genaamd van ‘</w:t>
      </w:r>
      <w:r w:rsidR="00BA0997" w:rsidRPr="00BA0997">
        <w:rPr>
          <w:i/>
        </w:rPr>
        <w:t xml:space="preserve">Food </w:t>
      </w:r>
      <w:proofErr w:type="spellStart"/>
      <w:r w:rsidR="00BA0997" w:rsidRPr="00BA0997">
        <w:rPr>
          <w:i/>
        </w:rPr>
        <w:t>Aid</w:t>
      </w:r>
      <w:proofErr w:type="spellEnd"/>
      <w:r w:rsidR="00BA0997" w:rsidRPr="00BA0997">
        <w:rPr>
          <w:i/>
        </w:rPr>
        <w:t xml:space="preserve"> </w:t>
      </w:r>
      <w:proofErr w:type="spellStart"/>
      <w:r w:rsidR="00BA0997" w:rsidRPr="00BA0997">
        <w:rPr>
          <w:i/>
        </w:rPr>
        <w:t>to</w:t>
      </w:r>
      <w:proofErr w:type="spellEnd"/>
      <w:r w:rsidR="00BA0997" w:rsidRPr="00BA0997">
        <w:rPr>
          <w:i/>
        </w:rPr>
        <w:t xml:space="preserve"> Food Assistance</w:t>
      </w:r>
      <w:r w:rsidR="00BA0997">
        <w:t>’ is een start gemaakt met</w:t>
      </w:r>
      <w:r w:rsidR="002C29CB" w:rsidRPr="009F1ED0">
        <w:t xml:space="preserve"> het stimuleren van innovatieve manieren van noodhulp zoals het introduceren van cash en (elektronische) vouchers</w:t>
      </w:r>
      <w:r w:rsidR="00BA0997">
        <w:t xml:space="preserve">, </w:t>
      </w:r>
      <w:r w:rsidR="002C29CB" w:rsidRPr="009F1ED0">
        <w:t>verbetering van de logistiek</w:t>
      </w:r>
      <w:r w:rsidR="00BA0997">
        <w:t xml:space="preserve"> en de introductie van </w:t>
      </w:r>
      <w:proofErr w:type="spellStart"/>
      <w:r w:rsidR="00BA0997" w:rsidRPr="00BA0997">
        <w:rPr>
          <w:i/>
        </w:rPr>
        <w:t>supply</w:t>
      </w:r>
      <w:proofErr w:type="spellEnd"/>
      <w:r w:rsidR="00BA0997" w:rsidRPr="00BA0997">
        <w:rPr>
          <w:i/>
        </w:rPr>
        <w:t xml:space="preserve"> chain </w:t>
      </w:r>
      <w:proofErr w:type="spellStart"/>
      <w:r w:rsidR="00BA0997" w:rsidRPr="00BA0997">
        <w:rPr>
          <w:i/>
        </w:rPr>
        <w:t>framework</w:t>
      </w:r>
      <w:proofErr w:type="spellEnd"/>
      <w:r w:rsidR="00BA0997">
        <w:t xml:space="preserve"> ten aanzien van lokale aankopen. Deze aanpak is de afgelopen jaren doorgezet en succesvol gebleken. Daarbij moet worden opgemerkt dat het continu vernieuwen een zware last legt op de organisatie, die bovenop het </w:t>
      </w:r>
      <w:r w:rsidR="00A93A07">
        <w:t>toch al uitdagende mandaat komt.</w:t>
      </w:r>
    </w:p>
    <w:p w14:paraId="2D51EDD5" w14:textId="77777777" w:rsidR="002C29CB" w:rsidRDefault="002C29CB" w:rsidP="002C29CB">
      <w:pPr>
        <w:rPr>
          <w:color w:val="8496B0" w:themeColor="text2" w:themeTint="99"/>
        </w:rPr>
      </w:pPr>
    </w:p>
    <w:p w14:paraId="2D51EDD6" w14:textId="5CDB2139" w:rsidR="00281287" w:rsidRDefault="00D05051" w:rsidP="00281287">
      <w:r>
        <w:t>WFP is een open en transparante organisatie die uitgebreid verantwoording aflegt aan haar donoren via d</w:t>
      </w:r>
      <w:r w:rsidR="00281287" w:rsidRPr="00B349ED">
        <w:t>e Uitvoerende Raad</w:t>
      </w:r>
      <w:r w:rsidR="005373AD">
        <w:t xml:space="preserve"> en </w:t>
      </w:r>
      <w:r w:rsidR="00281287" w:rsidRPr="00B349ED">
        <w:t xml:space="preserve">bekend </w:t>
      </w:r>
      <w:r>
        <w:t xml:space="preserve">staat </w:t>
      </w:r>
      <w:r w:rsidR="00281287" w:rsidRPr="00B349ED">
        <w:t xml:space="preserve">als zeer efficiënt. </w:t>
      </w:r>
      <w:r w:rsidRPr="00B349ED">
        <w:t>Op de agenda van de U</w:t>
      </w:r>
      <w:r w:rsidR="003F6E3E">
        <w:t>R</w:t>
      </w:r>
      <w:r w:rsidRPr="00B349ED">
        <w:t xml:space="preserve"> staan zaken als beleids- en financiële aangelegenheden, evaluatierapporten, landenprogramma’s en projecten.</w:t>
      </w:r>
      <w:r>
        <w:t xml:space="preserve"> </w:t>
      </w:r>
      <w:r w:rsidR="00281287" w:rsidRPr="00B349ED">
        <w:t xml:space="preserve">Documenten die voorliggen zijn over het algemeen van goede kwaliteit en de besluitvorming gaat doorgaans zeer snel. Dit is te danken aan uitgebreide </w:t>
      </w:r>
      <w:r>
        <w:t xml:space="preserve">(informele) </w:t>
      </w:r>
      <w:r w:rsidR="00E2424B">
        <w:t xml:space="preserve">consultaties met alle Lidstaten </w:t>
      </w:r>
      <w:r w:rsidR="000E37D1">
        <w:t xml:space="preserve">(UR-leden en waarnemers) </w:t>
      </w:r>
      <w:r w:rsidR="00E2424B">
        <w:t>i</w:t>
      </w:r>
      <w:r>
        <w:t>n de aanloop naar een Raadsvergadering</w:t>
      </w:r>
      <w:r w:rsidR="00281287" w:rsidRPr="00B349ED">
        <w:t xml:space="preserve">. </w:t>
      </w:r>
      <w:r>
        <w:t xml:space="preserve">Naast de 36 formele leden hebben overige donoren, </w:t>
      </w:r>
      <w:r w:rsidR="00AD2B11">
        <w:t xml:space="preserve">andere VN organisatie en </w:t>
      </w:r>
      <w:proofErr w:type="spellStart"/>
      <w:r w:rsidR="00AD2B11">
        <w:t>NGO’s</w:t>
      </w:r>
      <w:proofErr w:type="spellEnd"/>
      <w:r w:rsidR="00AD2B11">
        <w:t xml:space="preserve"> een waarnemers status in de Raad. </w:t>
      </w:r>
      <w:r w:rsidR="00281287" w:rsidRPr="00B349ED">
        <w:t>Aan aanbevelingen van evaluaties die in de U</w:t>
      </w:r>
      <w:r w:rsidR="003F6E3E">
        <w:t xml:space="preserve">R </w:t>
      </w:r>
      <w:r w:rsidR="00281287" w:rsidRPr="00B349ED">
        <w:t>vastgesteld zijn wordt via een intern controleproces goed opvolging gegeven. Het WFP-secretariaat is nauw betrokken bij de Uitvoerende Raden</w:t>
      </w:r>
      <w:r w:rsidR="00281287">
        <w:t>,</w:t>
      </w:r>
      <w:r w:rsidR="00281287" w:rsidRPr="00B349ED">
        <w:t xml:space="preserve"> is goed benaderbaar en staat open voor vragen en het delen van informatie met de lidstaten. </w:t>
      </w:r>
    </w:p>
    <w:p w14:paraId="2D51EDD7" w14:textId="77777777" w:rsidR="009711D9" w:rsidRDefault="009711D9" w:rsidP="00326699"/>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80"/>
        <w:gridCol w:w="1432"/>
      </w:tblGrid>
      <w:tr w:rsidR="009A513F" w14:paraId="2D51EDDA" w14:textId="77777777" w:rsidTr="00344A07">
        <w:tc>
          <w:tcPr>
            <w:tcW w:w="6280" w:type="dxa"/>
            <w:tcBorders>
              <w:top w:val="single" w:sz="12" w:space="0" w:color="auto"/>
              <w:left w:val="single" w:sz="12" w:space="0" w:color="auto"/>
              <w:bottom w:val="single" w:sz="12" w:space="0" w:color="auto"/>
            </w:tcBorders>
            <w:shd w:val="clear" w:color="auto" w:fill="D9D9D9"/>
          </w:tcPr>
          <w:p w14:paraId="2D51EDD8" w14:textId="77777777" w:rsidR="009A513F" w:rsidRPr="00EA0AA8" w:rsidRDefault="009A513F" w:rsidP="00326699">
            <w:pPr>
              <w:rPr>
                <w:b/>
              </w:rPr>
            </w:pPr>
            <w:r w:rsidRPr="00EA0AA8">
              <w:rPr>
                <w:b/>
              </w:rPr>
              <w:t>Onderdeel</w:t>
            </w:r>
          </w:p>
        </w:tc>
        <w:tc>
          <w:tcPr>
            <w:tcW w:w="1432" w:type="dxa"/>
            <w:tcBorders>
              <w:top w:val="single" w:sz="12" w:space="0" w:color="auto"/>
              <w:bottom w:val="single" w:sz="12" w:space="0" w:color="auto"/>
              <w:right w:val="single" w:sz="12" w:space="0" w:color="auto"/>
            </w:tcBorders>
            <w:shd w:val="clear" w:color="auto" w:fill="D9D9D9"/>
          </w:tcPr>
          <w:p w14:paraId="2D51EDD9" w14:textId="77777777" w:rsidR="009A513F" w:rsidRPr="00EA0AA8" w:rsidRDefault="009A513F" w:rsidP="00326699">
            <w:pPr>
              <w:rPr>
                <w:b/>
              </w:rPr>
            </w:pPr>
            <w:r w:rsidRPr="00EA0AA8">
              <w:rPr>
                <w:b/>
              </w:rPr>
              <w:t>Score</w:t>
            </w:r>
          </w:p>
        </w:tc>
      </w:tr>
      <w:tr w:rsidR="009A513F" w14:paraId="2D51EDDD" w14:textId="77777777" w:rsidTr="00344A07">
        <w:tc>
          <w:tcPr>
            <w:tcW w:w="6280" w:type="dxa"/>
            <w:tcBorders>
              <w:top w:val="single" w:sz="12" w:space="0" w:color="auto"/>
              <w:left w:val="single" w:sz="12" w:space="0" w:color="auto"/>
            </w:tcBorders>
            <w:shd w:val="clear" w:color="auto" w:fill="auto"/>
          </w:tcPr>
          <w:p w14:paraId="2D51EDDB" w14:textId="77777777" w:rsidR="009A513F" w:rsidRDefault="00DE2DA8" w:rsidP="00326699">
            <w:r>
              <w:t>Kernmandaat / Prioriteiten / Mission Creep</w:t>
            </w:r>
          </w:p>
        </w:tc>
        <w:tc>
          <w:tcPr>
            <w:tcW w:w="1432" w:type="dxa"/>
            <w:tcBorders>
              <w:top w:val="single" w:sz="12" w:space="0" w:color="auto"/>
              <w:right w:val="single" w:sz="12" w:space="0" w:color="auto"/>
            </w:tcBorders>
            <w:shd w:val="clear" w:color="auto" w:fill="auto"/>
          </w:tcPr>
          <w:p w14:paraId="2D51EDDC" w14:textId="77777777" w:rsidR="009A513F" w:rsidRDefault="00D05051" w:rsidP="00C81AF8">
            <w:pPr>
              <w:jc w:val="center"/>
            </w:pPr>
            <w:r>
              <w:t>4</w:t>
            </w:r>
          </w:p>
        </w:tc>
      </w:tr>
      <w:tr w:rsidR="009A513F" w14:paraId="2D51EDE0" w14:textId="77777777" w:rsidTr="00344A07">
        <w:tc>
          <w:tcPr>
            <w:tcW w:w="6280" w:type="dxa"/>
            <w:tcBorders>
              <w:left w:val="single" w:sz="12" w:space="0" w:color="auto"/>
            </w:tcBorders>
            <w:shd w:val="clear" w:color="auto" w:fill="auto"/>
          </w:tcPr>
          <w:p w14:paraId="2D51EDDE" w14:textId="77777777" w:rsidR="009A513F" w:rsidRDefault="00DE2DA8" w:rsidP="00326699">
            <w:r>
              <w:t>Beleidsstrategie</w:t>
            </w:r>
          </w:p>
        </w:tc>
        <w:tc>
          <w:tcPr>
            <w:tcW w:w="1432" w:type="dxa"/>
            <w:tcBorders>
              <w:right w:val="single" w:sz="12" w:space="0" w:color="auto"/>
            </w:tcBorders>
            <w:shd w:val="clear" w:color="auto" w:fill="auto"/>
          </w:tcPr>
          <w:p w14:paraId="2D51EDDF" w14:textId="77777777" w:rsidR="009A513F" w:rsidRDefault="00D05051" w:rsidP="00C81AF8">
            <w:pPr>
              <w:jc w:val="center"/>
            </w:pPr>
            <w:r>
              <w:t>4</w:t>
            </w:r>
          </w:p>
        </w:tc>
      </w:tr>
      <w:tr w:rsidR="009A513F" w14:paraId="2D51EDE3" w14:textId="77777777" w:rsidTr="00344A07">
        <w:tc>
          <w:tcPr>
            <w:tcW w:w="6280" w:type="dxa"/>
            <w:tcBorders>
              <w:left w:val="single" w:sz="12" w:space="0" w:color="auto"/>
              <w:bottom w:val="single" w:sz="4" w:space="0" w:color="auto"/>
            </w:tcBorders>
            <w:shd w:val="clear" w:color="auto" w:fill="auto"/>
          </w:tcPr>
          <w:p w14:paraId="2D51EDE1" w14:textId="77777777" w:rsidR="009A513F" w:rsidRPr="00D07E60" w:rsidRDefault="00DE2DA8" w:rsidP="00326699">
            <w:proofErr w:type="spellStart"/>
            <w:r w:rsidRPr="00D07E60">
              <w:t>Theory</w:t>
            </w:r>
            <w:proofErr w:type="spellEnd"/>
            <w:r w:rsidRPr="00D07E60">
              <w:t xml:space="preserve"> of Change</w:t>
            </w:r>
          </w:p>
        </w:tc>
        <w:tc>
          <w:tcPr>
            <w:tcW w:w="1432" w:type="dxa"/>
            <w:tcBorders>
              <w:right w:val="single" w:sz="12" w:space="0" w:color="auto"/>
            </w:tcBorders>
            <w:shd w:val="clear" w:color="auto" w:fill="auto"/>
          </w:tcPr>
          <w:p w14:paraId="2D51EDE2" w14:textId="77777777" w:rsidR="009A513F" w:rsidRDefault="00DE2DA8" w:rsidP="00C81AF8">
            <w:pPr>
              <w:jc w:val="center"/>
            </w:pPr>
            <w:r>
              <w:t>3</w:t>
            </w:r>
          </w:p>
        </w:tc>
      </w:tr>
      <w:tr w:rsidR="009A513F" w14:paraId="2D51EDE6" w14:textId="77777777" w:rsidTr="00344A07">
        <w:tc>
          <w:tcPr>
            <w:tcW w:w="6280" w:type="dxa"/>
            <w:tcBorders>
              <w:top w:val="single" w:sz="4" w:space="0" w:color="auto"/>
              <w:left w:val="single" w:sz="12" w:space="0" w:color="auto"/>
              <w:bottom w:val="single" w:sz="4" w:space="0" w:color="auto"/>
            </w:tcBorders>
            <w:shd w:val="clear" w:color="auto" w:fill="auto"/>
          </w:tcPr>
          <w:p w14:paraId="2D51EDE4" w14:textId="77777777" w:rsidR="009A513F" w:rsidRDefault="00DE2DA8" w:rsidP="00326699">
            <w:r>
              <w:t>Aansluiting Nationaal beleid / Armoedestrategie</w:t>
            </w:r>
          </w:p>
        </w:tc>
        <w:tc>
          <w:tcPr>
            <w:tcW w:w="1432" w:type="dxa"/>
            <w:tcBorders>
              <w:bottom w:val="single" w:sz="4" w:space="0" w:color="auto"/>
              <w:right w:val="single" w:sz="12" w:space="0" w:color="auto"/>
            </w:tcBorders>
            <w:shd w:val="clear" w:color="auto" w:fill="auto"/>
          </w:tcPr>
          <w:p w14:paraId="2D51EDE5" w14:textId="77777777" w:rsidR="009A513F" w:rsidRDefault="00D05051" w:rsidP="00C81AF8">
            <w:pPr>
              <w:jc w:val="center"/>
            </w:pPr>
            <w:r>
              <w:t>3</w:t>
            </w:r>
          </w:p>
        </w:tc>
      </w:tr>
      <w:tr w:rsidR="002A310E" w14:paraId="2D51EDE9" w14:textId="77777777" w:rsidTr="00344A07">
        <w:tc>
          <w:tcPr>
            <w:tcW w:w="6280" w:type="dxa"/>
            <w:tcBorders>
              <w:top w:val="single" w:sz="4" w:space="0" w:color="auto"/>
              <w:left w:val="single" w:sz="12" w:space="0" w:color="auto"/>
              <w:bottom w:val="single" w:sz="4" w:space="0" w:color="auto"/>
            </w:tcBorders>
            <w:shd w:val="clear" w:color="auto" w:fill="auto"/>
          </w:tcPr>
          <w:p w14:paraId="2D51EDE7" w14:textId="77777777" w:rsidR="002A310E" w:rsidRDefault="005F3FB6" w:rsidP="00326699">
            <w:r>
              <w:t>Verantwoording</w:t>
            </w:r>
            <w:r w:rsidR="00BA3472">
              <w:t xml:space="preserve"> </w:t>
            </w:r>
          </w:p>
        </w:tc>
        <w:tc>
          <w:tcPr>
            <w:tcW w:w="1432" w:type="dxa"/>
            <w:tcBorders>
              <w:bottom w:val="single" w:sz="4" w:space="0" w:color="auto"/>
              <w:right w:val="single" w:sz="12" w:space="0" w:color="auto"/>
            </w:tcBorders>
            <w:shd w:val="clear" w:color="auto" w:fill="auto"/>
          </w:tcPr>
          <w:p w14:paraId="2D51EDE8" w14:textId="77777777" w:rsidR="002A310E" w:rsidRDefault="00D05051" w:rsidP="00C81AF8">
            <w:pPr>
              <w:jc w:val="center"/>
            </w:pPr>
            <w:r>
              <w:t>4</w:t>
            </w:r>
          </w:p>
        </w:tc>
      </w:tr>
      <w:tr w:rsidR="00BA3472" w14:paraId="2D51EDEC" w14:textId="77777777" w:rsidTr="00344A07">
        <w:tc>
          <w:tcPr>
            <w:tcW w:w="6280" w:type="dxa"/>
            <w:tcBorders>
              <w:top w:val="single" w:sz="4" w:space="0" w:color="auto"/>
              <w:left w:val="single" w:sz="12" w:space="0" w:color="auto"/>
              <w:bottom w:val="single" w:sz="12" w:space="0" w:color="auto"/>
            </w:tcBorders>
            <w:shd w:val="clear" w:color="auto" w:fill="auto"/>
          </w:tcPr>
          <w:p w14:paraId="2D51EDEA" w14:textId="77777777" w:rsidR="00BA3472" w:rsidRDefault="00BA3472" w:rsidP="003E0DD1">
            <w:r>
              <w:t xml:space="preserve">Aanspreekbaarheid </w:t>
            </w:r>
            <w:r w:rsidR="003E0DD1">
              <w:t>voor overige belanghebbenden</w:t>
            </w:r>
          </w:p>
        </w:tc>
        <w:tc>
          <w:tcPr>
            <w:tcW w:w="1432" w:type="dxa"/>
            <w:tcBorders>
              <w:bottom w:val="single" w:sz="12" w:space="0" w:color="auto"/>
              <w:right w:val="single" w:sz="12" w:space="0" w:color="auto"/>
            </w:tcBorders>
            <w:shd w:val="clear" w:color="auto" w:fill="auto"/>
          </w:tcPr>
          <w:p w14:paraId="2D51EDEB" w14:textId="77777777" w:rsidR="00BA3472" w:rsidRDefault="00D05051" w:rsidP="00C81AF8">
            <w:pPr>
              <w:jc w:val="center"/>
            </w:pPr>
            <w:r>
              <w:t>4</w:t>
            </w:r>
          </w:p>
        </w:tc>
      </w:tr>
      <w:tr w:rsidR="009A513F" w14:paraId="2D51EDEF" w14:textId="77777777" w:rsidTr="00344A07">
        <w:tc>
          <w:tcPr>
            <w:tcW w:w="6280" w:type="dxa"/>
            <w:tcBorders>
              <w:top w:val="single" w:sz="12" w:space="0" w:color="auto"/>
              <w:left w:val="single" w:sz="12" w:space="0" w:color="auto"/>
              <w:bottom w:val="single" w:sz="12" w:space="0" w:color="auto"/>
            </w:tcBorders>
            <w:shd w:val="clear" w:color="auto" w:fill="D0CECE"/>
          </w:tcPr>
          <w:p w14:paraId="2D51EDED" w14:textId="77777777" w:rsidR="009A513F" w:rsidRPr="00EA0AA8" w:rsidRDefault="009A513F" w:rsidP="00326699">
            <w:pPr>
              <w:rPr>
                <w:b/>
              </w:rPr>
            </w:pPr>
            <w:r w:rsidRPr="00F313B0">
              <w:rPr>
                <w:b/>
              </w:rPr>
              <w:t>TOTAAL</w:t>
            </w:r>
          </w:p>
        </w:tc>
        <w:tc>
          <w:tcPr>
            <w:tcW w:w="1432" w:type="dxa"/>
            <w:tcBorders>
              <w:top w:val="single" w:sz="12" w:space="0" w:color="auto"/>
              <w:bottom w:val="single" w:sz="12" w:space="0" w:color="auto"/>
              <w:right w:val="single" w:sz="12" w:space="0" w:color="auto"/>
            </w:tcBorders>
            <w:shd w:val="clear" w:color="auto" w:fill="D0CECE"/>
          </w:tcPr>
          <w:p w14:paraId="2D51EDEE" w14:textId="77777777" w:rsidR="009A513F" w:rsidRPr="00EA0AA8" w:rsidRDefault="00D05051" w:rsidP="00C81AF8">
            <w:pPr>
              <w:jc w:val="center"/>
              <w:rPr>
                <w:b/>
              </w:rPr>
            </w:pPr>
            <w:r>
              <w:rPr>
                <w:b/>
              </w:rPr>
              <w:t>4</w:t>
            </w:r>
          </w:p>
        </w:tc>
      </w:tr>
    </w:tbl>
    <w:p w14:paraId="2D51EDF0" w14:textId="77777777" w:rsidR="00C852C7" w:rsidRDefault="00C852C7" w:rsidP="00C852C7"/>
    <w:p w14:paraId="2D51EDF1" w14:textId="423479AC" w:rsidR="00C852C7" w:rsidRDefault="00C852C7" w:rsidP="004D1D28">
      <w:pPr>
        <w:ind w:firstLine="227"/>
      </w:pPr>
      <w:r w:rsidRPr="00193994">
        <w:t>Verandering</w:t>
      </w:r>
      <w:r>
        <w:t xml:space="preserve"> sinds 2015: </w:t>
      </w:r>
      <w:r w:rsidR="005727B7">
        <w:t>neutraal</w:t>
      </w:r>
      <w:r w:rsidR="005727B7" w:rsidRPr="00193994">
        <w:t xml:space="preserve"> = </w:t>
      </w:r>
      <w:r w:rsidR="005727B7" w:rsidRPr="00193994">
        <w:sym w:font="Wingdings" w:char="F0E8"/>
      </w:r>
    </w:p>
    <w:p w14:paraId="2D51EDF2" w14:textId="77777777" w:rsidR="002A310E" w:rsidRDefault="002A310E" w:rsidP="00326699"/>
    <w:p w14:paraId="2D51EDF3" w14:textId="77777777" w:rsidR="00CD5427" w:rsidRPr="007230FA" w:rsidRDefault="00032C0E" w:rsidP="004C56D9">
      <w:pPr>
        <w:pStyle w:val="Heading2"/>
        <w:numPr>
          <w:ilvl w:val="1"/>
          <w:numId w:val="7"/>
        </w:numPr>
        <w:tabs>
          <w:tab w:val="left" w:pos="-1162"/>
          <w:tab w:val="left" w:pos="0"/>
        </w:tabs>
        <w:spacing w:line="240" w:lineRule="auto"/>
        <w:ind w:left="0" w:hanging="1134"/>
        <w:rPr>
          <w:lang w:val="en-US"/>
        </w:rPr>
      </w:pPr>
      <w:bookmarkStart w:id="30" w:name="_Toc491260352"/>
      <w:proofErr w:type="spellStart"/>
      <w:r>
        <w:rPr>
          <w:lang w:val="en-US"/>
        </w:rPr>
        <w:t>Resultaatgerichtheid</w:t>
      </w:r>
      <w:proofErr w:type="spellEnd"/>
      <w:r>
        <w:rPr>
          <w:lang w:val="en-US"/>
        </w:rPr>
        <w:t xml:space="preserve"> </w:t>
      </w:r>
      <w:proofErr w:type="spellStart"/>
      <w:r>
        <w:rPr>
          <w:lang w:val="en-US"/>
        </w:rPr>
        <w:t>en</w:t>
      </w:r>
      <w:proofErr w:type="spellEnd"/>
      <w:r>
        <w:rPr>
          <w:lang w:val="en-US"/>
        </w:rPr>
        <w:t xml:space="preserve"> </w:t>
      </w:r>
      <w:proofErr w:type="spellStart"/>
      <w:r>
        <w:rPr>
          <w:lang w:val="en-US"/>
        </w:rPr>
        <w:t>transparantie</w:t>
      </w:r>
      <w:bookmarkEnd w:id="30"/>
      <w:proofErr w:type="spellEnd"/>
    </w:p>
    <w:p w14:paraId="2D51EDF5" w14:textId="7E8CE5B6" w:rsidR="00EA3634" w:rsidRDefault="003B1862" w:rsidP="000D0473">
      <w:r w:rsidRPr="00F86D39">
        <w:t xml:space="preserve">De </w:t>
      </w:r>
      <w:r w:rsidR="003B7DEC">
        <w:t xml:space="preserve">rapportage over de </w:t>
      </w:r>
      <w:r w:rsidRPr="00F86D39">
        <w:t xml:space="preserve">uitvoering van </w:t>
      </w:r>
      <w:r w:rsidR="003B7DEC">
        <w:t>het Strategisch Plan en de daarin geformuleerde do</w:t>
      </w:r>
      <w:r w:rsidRPr="00F86D39">
        <w:t xml:space="preserve">elen </w:t>
      </w:r>
      <w:r w:rsidR="003B7DEC">
        <w:t xml:space="preserve">gebeurt jaarlijks via het </w:t>
      </w:r>
      <w:proofErr w:type="spellStart"/>
      <w:r w:rsidR="003B7DEC" w:rsidRPr="003B7DEC">
        <w:rPr>
          <w:i/>
        </w:rPr>
        <w:t>Annual</w:t>
      </w:r>
      <w:proofErr w:type="spellEnd"/>
      <w:r w:rsidR="003B7DEC" w:rsidRPr="003B7DEC">
        <w:rPr>
          <w:i/>
        </w:rPr>
        <w:t xml:space="preserve"> Performance Report</w:t>
      </w:r>
      <w:r w:rsidR="005373AD">
        <w:rPr>
          <w:i/>
        </w:rPr>
        <w:t xml:space="preserve">. </w:t>
      </w:r>
      <w:r w:rsidR="003B7DEC">
        <w:t xml:space="preserve">Dit gebeurt op basis van het </w:t>
      </w:r>
      <w:proofErr w:type="spellStart"/>
      <w:r w:rsidRPr="00F86D39">
        <w:rPr>
          <w:i/>
        </w:rPr>
        <w:t>Result</w:t>
      </w:r>
      <w:proofErr w:type="spellEnd"/>
      <w:r w:rsidRPr="00F86D39">
        <w:rPr>
          <w:i/>
        </w:rPr>
        <w:t xml:space="preserve"> </w:t>
      </w:r>
      <w:proofErr w:type="spellStart"/>
      <w:r w:rsidRPr="00F86D39">
        <w:rPr>
          <w:i/>
        </w:rPr>
        <w:t>Based</w:t>
      </w:r>
      <w:proofErr w:type="spellEnd"/>
      <w:r w:rsidRPr="00F86D39">
        <w:rPr>
          <w:i/>
        </w:rPr>
        <w:t xml:space="preserve"> Management</w:t>
      </w:r>
      <w:r w:rsidRPr="00F86D39">
        <w:t xml:space="preserve"> (RBM)</w:t>
      </w:r>
      <w:r w:rsidR="003B7DEC">
        <w:t xml:space="preserve"> concept</w:t>
      </w:r>
      <w:r w:rsidRPr="00F86D39">
        <w:t>, zowel op mondiaal als op landenniveau.</w:t>
      </w:r>
      <w:r>
        <w:t xml:space="preserve"> </w:t>
      </w:r>
      <w:r w:rsidR="003B7DEC">
        <w:t xml:space="preserve">In 2013 concludeerde de </w:t>
      </w:r>
      <w:r w:rsidR="00F91F5E" w:rsidRPr="00C14CE3">
        <w:t>MOPAN</w:t>
      </w:r>
      <w:r w:rsidR="00F91F5E">
        <w:t>-review</w:t>
      </w:r>
      <w:r w:rsidR="003B7DEC">
        <w:t xml:space="preserve"> van WFP</w:t>
      </w:r>
      <w:r>
        <w:t xml:space="preserve"> </w:t>
      </w:r>
      <w:r w:rsidR="003B7DEC">
        <w:t>al dat RBM</w:t>
      </w:r>
      <w:r>
        <w:t xml:space="preserve"> een sterk element </w:t>
      </w:r>
      <w:r w:rsidR="003B7DEC">
        <w:t xml:space="preserve">is </w:t>
      </w:r>
      <w:r>
        <w:t xml:space="preserve">van </w:t>
      </w:r>
      <w:proofErr w:type="spellStart"/>
      <w:r>
        <w:t>WFP’s</w:t>
      </w:r>
      <w:proofErr w:type="spellEnd"/>
      <w:r>
        <w:t xml:space="preserve"> management </w:t>
      </w:r>
      <w:r w:rsidR="003B7DEC">
        <w:t>door de gehele organisatie</w:t>
      </w:r>
      <w:r w:rsidR="005373AD">
        <w:t xml:space="preserve">. </w:t>
      </w:r>
      <w:r w:rsidR="003B7DEC">
        <w:t xml:space="preserve">WFP blijft stappen zetten </w:t>
      </w:r>
      <w:r w:rsidRPr="00C14CE3">
        <w:t xml:space="preserve">om </w:t>
      </w:r>
      <w:r>
        <w:t>RBM volledig te implementeren en heeft aanzienlijke voor</w:t>
      </w:r>
      <w:r w:rsidRPr="00C14CE3">
        <w:t xml:space="preserve">tgang geboekt in het verbeteren van de kwaliteit van de </w:t>
      </w:r>
      <w:r w:rsidRPr="00DD109E">
        <w:t>resultatenraamwerken</w:t>
      </w:r>
      <w:r>
        <w:rPr>
          <w:i/>
        </w:rPr>
        <w:t xml:space="preserve"> </w:t>
      </w:r>
      <w:r w:rsidRPr="00C14CE3">
        <w:t xml:space="preserve">en indicatoren. </w:t>
      </w:r>
      <w:r w:rsidR="003B7DEC">
        <w:t>De uitdaging blijft om v</w:t>
      </w:r>
      <w:r w:rsidRPr="00C14CE3">
        <w:t xml:space="preserve">oldoende gegevens </w:t>
      </w:r>
      <w:r w:rsidR="00EA3634">
        <w:t xml:space="preserve">van goede kwaliteit te verzamelen. Dit is het </w:t>
      </w:r>
      <w:r w:rsidRPr="00C14CE3">
        <w:t xml:space="preserve">gevolg van </w:t>
      </w:r>
      <w:r w:rsidR="00EA3634">
        <w:t xml:space="preserve">de vaak uitdagende </w:t>
      </w:r>
      <w:r>
        <w:t xml:space="preserve">context waarin WFP </w:t>
      </w:r>
      <w:r w:rsidR="00EA3634">
        <w:t>in het veld opereert</w:t>
      </w:r>
      <w:r>
        <w:t xml:space="preserve">, zoals het gebrek aan </w:t>
      </w:r>
      <w:r w:rsidRPr="00C14CE3">
        <w:t xml:space="preserve">capaciteit </w:t>
      </w:r>
      <w:r>
        <w:t>van partners of van eigen personeel</w:t>
      </w:r>
      <w:r w:rsidRPr="00C14CE3">
        <w:t>.</w:t>
      </w:r>
      <w:r>
        <w:t xml:space="preserve"> </w:t>
      </w:r>
    </w:p>
    <w:p w14:paraId="2D51EDF6" w14:textId="77777777" w:rsidR="00EA3634" w:rsidRDefault="00EA3634" w:rsidP="003B1862"/>
    <w:p w14:paraId="2D51EDF7" w14:textId="395B3C52" w:rsidR="003B1862" w:rsidRPr="00EA0FD2" w:rsidRDefault="003B1862" w:rsidP="000D0473">
      <w:r w:rsidRPr="00EA0FD2">
        <w:t xml:space="preserve">Het </w:t>
      </w:r>
      <w:proofErr w:type="spellStart"/>
      <w:r w:rsidRPr="00EA0FD2">
        <w:rPr>
          <w:i/>
        </w:rPr>
        <w:t>Results</w:t>
      </w:r>
      <w:proofErr w:type="spellEnd"/>
      <w:r w:rsidRPr="00EA0FD2">
        <w:rPr>
          <w:i/>
        </w:rPr>
        <w:t xml:space="preserve"> </w:t>
      </w:r>
      <w:proofErr w:type="spellStart"/>
      <w:r w:rsidRPr="00EA0FD2">
        <w:rPr>
          <w:i/>
        </w:rPr>
        <w:t>Based</w:t>
      </w:r>
      <w:proofErr w:type="spellEnd"/>
      <w:r w:rsidRPr="00EA0FD2">
        <w:rPr>
          <w:i/>
        </w:rPr>
        <w:t xml:space="preserve"> </w:t>
      </w:r>
      <w:proofErr w:type="spellStart"/>
      <w:r w:rsidRPr="00EA0FD2">
        <w:rPr>
          <w:i/>
        </w:rPr>
        <w:t>Budgeting</w:t>
      </w:r>
      <w:proofErr w:type="spellEnd"/>
      <w:r w:rsidRPr="00EA0FD2">
        <w:t xml:space="preserve"> (RBB) werd </w:t>
      </w:r>
      <w:r w:rsidR="00EA3634">
        <w:t xml:space="preserve">door de donoren de afgelopen jaren als voldoende gezien, al was het duidelijk </w:t>
      </w:r>
      <w:r>
        <w:t xml:space="preserve">dat WFP nog geen </w:t>
      </w:r>
      <w:r w:rsidR="00EA3634">
        <w:t xml:space="preserve">eenduidige </w:t>
      </w:r>
      <w:r>
        <w:t xml:space="preserve">systematiek had om de allocatie van middelen aan de </w:t>
      </w:r>
      <w:proofErr w:type="spellStart"/>
      <w:r>
        <w:rPr>
          <w:i/>
        </w:rPr>
        <w:t>outcomes</w:t>
      </w:r>
      <w:proofErr w:type="spellEnd"/>
      <w:r>
        <w:t xml:space="preserve"> te koppelen (alleen aan strategische doelen). </w:t>
      </w:r>
      <w:r w:rsidR="00AD5E3A">
        <w:t xml:space="preserve">In het nieuwe Strategische Plan (2017-2021) en de bijbehorende </w:t>
      </w:r>
      <w:proofErr w:type="spellStart"/>
      <w:r w:rsidR="00AD5E3A" w:rsidRPr="00AD5E3A">
        <w:rPr>
          <w:i/>
        </w:rPr>
        <w:t>Integrated</w:t>
      </w:r>
      <w:proofErr w:type="spellEnd"/>
      <w:r w:rsidR="00AD5E3A" w:rsidRPr="00AD5E3A">
        <w:rPr>
          <w:i/>
        </w:rPr>
        <w:t xml:space="preserve"> Road Map</w:t>
      </w:r>
      <w:r w:rsidR="0055326D">
        <w:rPr>
          <w:i/>
        </w:rPr>
        <w:t xml:space="preserve"> </w:t>
      </w:r>
      <w:r w:rsidR="0055326D" w:rsidRPr="0055326D">
        <w:t>e</w:t>
      </w:r>
      <w:r w:rsidR="0055326D">
        <w:t>n</w:t>
      </w:r>
      <w:r w:rsidR="0055326D" w:rsidRPr="0055326D">
        <w:t xml:space="preserve"> het nieuwe</w:t>
      </w:r>
      <w:r w:rsidR="0055326D">
        <w:rPr>
          <w:i/>
        </w:rPr>
        <w:t xml:space="preserve"> </w:t>
      </w:r>
      <w:proofErr w:type="spellStart"/>
      <w:r w:rsidR="0055326D">
        <w:rPr>
          <w:i/>
        </w:rPr>
        <w:t>Coporate</w:t>
      </w:r>
      <w:proofErr w:type="spellEnd"/>
      <w:r w:rsidR="0055326D">
        <w:rPr>
          <w:i/>
        </w:rPr>
        <w:t xml:space="preserve"> </w:t>
      </w:r>
      <w:proofErr w:type="spellStart"/>
      <w:r w:rsidR="0055326D">
        <w:rPr>
          <w:i/>
        </w:rPr>
        <w:t>R</w:t>
      </w:r>
      <w:r w:rsidR="007233D4">
        <w:rPr>
          <w:i/>
        </w:rPr>
        <w:t>esults</w:t>
      </w:r>
      <w:proofErr w:type="spellEnd"/>
      <w:r w:rsidR="007233D4">
        <w:rPr>
          <w:i/>
        </w:rPr>
        <w:t xml:space="preserve"> Framework (CRF) 2017-2021</w:t>
      </w:r>
      <w:r w:rsidR="00AD5E3A">
        <w:t xml:space="preserve">, gaat WFP deze stap maken. In de periode 2017-2019 zullen alle lopende (en nieuwe) programma’s worden omgezet naar een vernieuwd RBB </w:t>
      </w:r>
      <w:r w:rsidR="0055326D">
        <w:t xml:space="preserve">en CRF </w:t>
      </w:r>
      <w:r w:rsidR="00AD5E3A">
        <w:t xml:space="preserve">systeem, waarbij de budgetonderdelen direct zijn gekoppeld aan de gedefinieerde te behalen resultaten. </w:t>
      </w:r>
      <w:r>
        <w:t xml:space="preserve">Volgens de Britse </w:t>
      </w:r>
      <w:proofErr w:type="spellStart"/>
      <w:r w:rsidRPr="00D42B4B">
        <w:rPr>
          <w:i/>
        </w:rPr>
        <w:t>Multilateral</w:t>
      </w:r>
      <w:proofErr w:type="spellEnd"/>
      <w:r w:rsidRPr="00D42B4B">
        <w:rPr>
          <w:i/>
        </w:rPr>
        <w:t xml:space="preserve"> </w:t>
      </w:r>
      <w:proofErr w:type="spellStart"/>
      <w:r w:rsidRPr="00D42B4B">
        <w:rPr>
          <w:i/>
        </w:rPr>
        <w:t>Aid</w:t>
      </w:r>
      <w:proofErr w:type="spellEnd"/>
      <w:r w:rsidRPr="00D42B4B">
        <w:rPr>
          <w:i/>
        </w:rPr>
        <w:t xml:space="preserve"> Review</w:t>
      </w:r>
      <w:r w:rsidR="00AD5E3A">
        <w:t xml:space="preserve"> 2013</w:t>
      </w:r>
      <w:r>
        <w:t xml:space="preserve"> </w:t>
      </w:r>
      <w:r w:rsidR="00AD5E3A">
        <w:t>en 2016</w:t>
      </w:r>
      <w:r>
        <w:t xml:space="preserve">is WFP goed in het behalen van resultaten, en heeft het goede stappen gezet met het rapporteren en evalueren ervan. </w:t>
      </w:r>
      <w:r w:rsidRPr="00891586">
        <w:t xml:space="preserve">Naast </w:t>
      </w:r>
      <w:r>
        <w:t xml:space="preserve">de </w:t>
      </w:r>
      <w:r w:rsidRPr="00891586">
        <w:t xml:space="preserve">rapportage van beleidsimplementatie houdt WFP </w:t>
      </w:r>
      <w:r>
        <w:t>de R</w:t>
      </w:r>
      <w:r w:rsidRPr="00891586">
        <w:t>aad goed op de hoogte op operationeel gebied</w:t>
      </w:r>
      <w:r>
        <w:t>, met situatieschetsen en noden-</w:t>
      </w:r>
      <w:r w:rsidRPr="00891586">
        <w:t>analyses van de verschillende humanitaire crises</w:t>
      </w:r>
      <w:r>
        <w:t>.</w:t>
      </w:r>
    </w:p>
    <w:p w14:paraId="2D51EDF8" w14:textId="77777777" w:rsidR="003B1862" w:rsidRDefault="003B1862" w:rsidP="003B1862"/>
    <w:p w14:paraId="2D51EDF9" w14:textId="77777777" w:rsidR="003B1862" w:rsidRDefault="003B1862" w:rsidP="003B1862">
      <w:r>
        <w:t xml:space="preserve">Op het gebied van transparantie en beschikbaarheid van documenten scoort het WFP maximaal in de MOPAN-evaluatie. WFP heeft sterke richtlijnen voor het vrijgeven van informatie en vrijwel alle belangrijke documenten zijn beschikbaar op de website (inclusief notulen, interne audits, financiële rapportages en evaluaties). Ten slotte committeert </w:t>
      </w:r>
      <w:r w:rsidRPr="00C14CE3">
        <w:t xml:space="preserve">WFP </w:t>
      </w:r>
      <w:r>
        <w:t xml:space="preserve">zich aan het </w:t>
      </w:r>
      <w:r w:rsidRPr="00352DFB">
        <w:rPr>
          <w:i/>
        </w:rPr>
        <w:t xml:space="preserve">International </w:t>
      </w:r>
      <w:proofErr w:type="spellStart"/>
      <w:r w:rsidRPr="00352DFB">
        <w:rPr>
          <w:i/>
        </w:rPr>
        <w:t>Aid</w:t>
      </w:r>
      <w:proofErr w:type="spellEnd"/>
      <w:r w:rsidRPr="00352DFB">
        <w:rPr>
          <w:i/>
        </w:rPr>
        <w:t xml:space="preserve"> </w:t>
      </w:r>
      <w:proofErr w:type="spellStart"/>
      <w:r w:rsidRPr="00352DFB">
        <w:rPr>
          <w:i/>
        </w:rPr>
        <w:t>Transparency</w:t>
      </w:r>
      <w:proofErr w:type="spellEnd"/>
      <w:r w:rsidRPr="00352DFB">
        <w:rPr>
          <w:i/>
        </w:rPr>
        <w:t xml:space="preserve"> </w:t>
      </w:r>
      <w:proofErr w:type="spellStart"/>
      <w:r w:rsidRPr="00352DFB">
        <w:rPr>
          <w:i/>
        </w:rPr>
        <w:t>Initiative</w:t>
      </w:r>
      <w:proofErr w:type="spellEnd"/>
      <w:r w:rsidRPr="00C14CE3">
        <w:t xml:space="preserve"> (IATI) </w:t>
      </w:r>
      <w:r>
        <w:t>sinds 2012.</w:t>
      </w:r>
      <w:r w:rsidRPr="00C14CE3">
        <w:t xml:space="preserve"> WFP voldoet aan </w:t>
      </w:r>
      <w:r>
        <w:t>de IATI-rapportage</w:t>
      </w:r>
      <w:r w:rsidRPr="00C14CE3">
        <w:t xml:space="preserve">normen in </w:t>
      </w:r>
      <w:r>
        <w:t xml:space="preserve">de </w:t>
      </w:r>
      <w:proofErr w:type="spellStart"/>
      <w:r w:rsidRPr="00352DFB">
        <w:rPr>
          <w:i/>
        </w:rPr>
        <w:t>Annual</w:t>
      </w:r>
      <w:proofErr w:type="spellEnd"/>
      <w:r w:rsidRPr="00352DFB">
        <w:rPr>
          <w:i/>
        </w:rPr>
        <w:t xml:space="preserve"> Performance </w:t>
      </w:r>
      <w:proofErr w:type="spellStart"/>
      <w:r w:rsidRPr="00352DFB">
        <w:rPr>
          <w:i/>
        </w:rPr>
        <w:t>Reports</w:t>
      </w:r>
      <w:proofErr w:type="spellEnd"/>
      <w:r w:rsidRPr="00C14CE3">
        <w:t>.</w:t>
      </w:r>
    </w:p>
    <w:p w14:paraId="2D51EDFA" w14:textId="77777777" w:rsidR="00F4603C" w:rsidRDefault="00F4603C" w:rsidP="003B1862"/>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62"/>
        <w:gridCol w:w="950"/>
      </w:tblGrid>
      <w:tr w:rsidR="00E20A86" w:rsidRPr="00EA0AA8" w14:paraId="2D51EDFD" w14:textId="77777777" w:rsidTr="00344A07">
        <w:tc>
          <w:tcPr>
            <w:tcW w:w="6762" w:type="dxa"/>
            <w:tcBorders>
              <w:top w:val="single" w:sz="12" w:space="0" w:color="auto"/>
              <w:left w:val="single" w:sz="12" w:space="0" w:color="auto"/>
              <w:bottom w:val="single" w:sz="12" w:space="0" w:color="auto"/>
            </w:tcBorders>
            <w:shd w:val="clear" w:color="auto" w:fill="D0CECE"/>
          </w:tcPr>
          <w:p w14:paraId="2D51EDFB" w14:textId="77777777" w:rsidR="00E20A86" w:rsidRPr="00EA0AA8" w:rsidRDefault="00E20A86" w:rsidP="00382AE3">
            <w:pPr>
              <w:rPr>
                <w:b/>
              </w:rPr>
            </w:pPr>
            <w:r w:rsidRPr="00EA0AA8">
              <w:rPr>
                <w:b/>
              </w:rPr>
              <w:t>Onderdeel</w:t>
            </w:r>
          </w:p>
        </w:tc>
        <w:tc>
          <w:tcPr>
            <w:tcW w:w="950" w:type="dxa"/>
            <w:tcBorders>
              <w:top w:val="single" w:sz="12" w:space="0" w:color="auto"/>
              <w:bottom w:val="single" w:sz="12" w:space="0" w:color="auto"/>
              <w:right w:val="single" w:sz="12" w:space="0" w:color="auto"/>
            </w:tcBorders>
            <w:shd w:val="clear" w:color="auto" w:fill="D0CECE"/>
          </w:tcPr>
          <w:p w14:paraId="2D51EDFC" w14:textId="77777777" w:rsidR="00E20A86" w:rsidRPr="00EA0AA8" w:rsidRDefault="00E20A86" w:rsidP="00382AE3">
            <w:pPr>
              <w:rPr>
                <w:b/>
              </w:rPr>
            </w:pPr>
            <w:r w:rsidRPr="00EA0AA8">
              <w:rPr>
                <w:b/>
              </w:rPr>
              <w:t>Score</w:t>
            </w:r>
          </w:p>
        </w:tc>
      </w:tr>
      <w:tr w:rsidR="00E20A86" w14:paraId="2D51EE00" w14:textId="77777777" w:rsidTr="00344A07">
        <w:tc>
          <w:tcPr>
            <w:tcW w:w="6762" w:type="dxa"/>
            <w:tcBorders>
              <w:top w:val="single" w:sz="12" w:space="0" w:color="auto"/>
              <w:left w:val="single" w:sz="12" w:space="0" w:color="auto"/>
            </w:tcBorders>
            <w:shd w:val="clear" w:color="auto" w:fill="auto"/>
          </w:tcPr>
          <w:p w14:paraId="2D51EDFE" w14:textId="77777777" w:rsidR="00E20A86" w:rsidRDefault="00E20A86" w:rsidP="00382AE3">
            <w:r>
              <w:t>RBM en RBB</w:t>
            </w:r>
          </w:p>
        </w:tc>
        <w:tc>
          <w:tcPr>
            <w:tcW w:w="950" w:type="dxa"/>
            <w:tcBorders>
              <w:top w:val="single" w:sz="12" w:space="0" w:color="auto"/>
              <w:right w:val="single" w:sz="12" w:space="0" w:color="auto"/>
            </w:tcBorders>
            <w:shd w:val="clear" w:color="auto" w:fill="auto"/>
          </w:tcPr>
          <w:p w14:paraId="2D51EDFF" w14:textId="77777777" w:rsidR="00E20A86" w:rsidRDefault="004E7ECA" w:rsidP="004E7ECA">
            <w:pPr>
              <w:jc w:val="center"/>
            </w:pPr>
            <w:r>
              <w:t>3</w:t>
            </w:r>
          </w:p>
        </w:tc>
      </w:tr>
      <w:tr w:rsidR="00E20A86" w14:paraId="2D51EE03" w14:textId="77777777" w:rsidTr="00344A07">
        <w:tc>
          <w:tcPr>
            <w:tcW w:w="6762" w:type="dxa"/>
            <w:tcBorders>
              <w:left w:val="single" w:sz="12" w:space="0" w:color="auto"/>
            </w:tcBorders>
            <w:shd w:val="clear" w:color="auto" w:fill="auto"/>
          </w:tcPr>
          <w:p w14:paraId="2D51EE01" w14:textId="77777777" w:rsidR="00E20A86" w:rsidRDefault="00E20A86" w:rsidP="00382AE3">
            <w:r>
              <w:t>Inzichtelijk maken resultaten</w:t>
            </w:r>
          </w:p>
        </w:tc>
        <w:tc>
          <w:tcPr>
            <w:tcW w:w="950" w:type="dxa"/>
            <w:tcBorders>
              <w:right w:val="single" w:sz="12" w:space="0" w:color="auto"/>
            </w:tcBorders>
            <w:shd w:val="clear" w:color="auto" w:fill="auto"/>
          </w:tcPr>
          <w:p w14:paraId="2D51EE02" w14:textId="7DC22C9E" w:rsidR="00E20A86" w:rsidRDefault="005373AD" w:rsidP="004E7ECA">
            <w:pPr>
              <w:jc w:val="center"/>
            </w:pPr>
            <w:r>
              <w:t>4</w:t>
            </w:r>
          </w:p>
        </w:tc>
      </w:tr>
      <w:tr w:rsidR="00E20A86" w14:paraId="2D51EE06" w14:textId="77777777" w:rsidTr="00344A07">
        <w:tc>
          <w:tcPr>
            <w:tcW w:w="6762" w:type="dxa"/>
            <w:tcBorders>
              <w:left w:val="single" w:sz="12" w:space="0" w:color="auto"/>
            </w:tcBorders>
            <w:shd w:val="clear" w:color="auto" w:fill="auto"/>
          </w:tcPr>
          <w:p w14:paraId="2D51EE04" w14:textId="77777777" w:rsidR="00E20A86" w:rsidRDefault="00E20A86" w:rsidP="00382AE3">
            <w:r>
              <w:t>Inzichtelijk maken allocatie van middelen (o.a. IATI)</w:t>
            </w:r>
          </w:p>
        </w:tc>
        <w:tc>
          <w:tcPr>
            <w:tcW w:w="950" w:type="dxa"/>
            <w:tcBorders>
              <w:right w:val="single" w:sz="12" w:space="0" w:color="auto"/>
            </w:tcBorders>
            <w:shd w:val="clear" w:color="auto" w:fill="auto"/>
          </w:tcPr>
          <w:p w14:paraId="2D51EE05" w14:textId="77777777" w:rsidR="00E20A86" w:rsidRDefault="004E7ECA" w:rsidP="004E7ECA">
            <w:pPr>
              <w:jc w:val="center"/>
            </w:pPr>
            <w:r>
              <w:t>4</w:t>
            </w:r>
          </w:p>
        </w:tc>
      </w:tr>
      <w:tr w:rsidR="00E20A86" w14:paraId="2D51EE09" w14:textId="77777777" w:rsidTr="00344A07">
        <w:tc>
          <w:tcPr>
            <w:tcW w:w="6762" w:type="dxa"/>
            <w:tcBorders>
              <w:left w:val="single" w:sz="12" w:space="0" w:color="auto"/>
              <w:bottom w:val="single" w:sz="12" w:space="0" w:color="auto"/>
            </w:tcBorders>
            <w:shd w:val="clear" w:color="auto" w:fill="auto"/>
          </w:tcPr>
          <w:p w14:paraId="2D51EE07" w14:textId="77777777" w:rsidR="00E20A86" w:rsidRDefault="00E20A86" w:rsidP="00382AE3">
            <w:r>
              <w:t>Communicatie over resultaten</w:t>
            </w:r>
          </w:p>
        </w:tc>
        <w:tc>
          <w:tcPr>
            <w:tcW w:w="950" w:type="dxa"/>
            <w:tcBorders>
              <w:bottom w:val="single" w:sz="12" w:space="0" w:color="auto"/>
              <w:right w:val="single" w:sz="12" w:space="0" w:color="auto"/>
            </w:tcBorders>
            <w:shd w:val="clear" w:color="auto" w:fill="auto"/>
          </w:tcPr>
          <w:p w14:paraId="2D51EE08" w14:textId="77777777" w:rsidR="00E20A86" w:rsidRDefault="004E7ECA" w:rsidP="004E7ECA">
            <w:pPr>
              <w:jc w:val="center"/>
            </w:pPr>
            <w:r>
              <w:t>4</w:t>
            </w:r>
          </w:p>
        </w:tc>
      </w:tr>
      <w:tr w:rsidR="00E20A86" w:rsidRPr="00EA0AA8" w14:paraId="2D51EE0C" w14:textId="77777777" w:rsidTr="00344A07">
        <w:tc>
          <w:tcPr>
            <w:tcW w:w="6762" w:type="dxa"/>
            <w:tcBorders>
              <w:top w:val="single" w:sz="12" w:space="0" w:color="auto"/>
              <w:left w:val="single" w:sz="12" w:space="0" w:color="auto"/>
              <w:bottom w:val="single" w:sz="12" w:space="0" w:color="auto"/>
            </w:tcBorders>
            <w:shd w:val="clear" w:color="auto" w:fill="D0CECE"/>
          </w:tcPr>
          <w:p w14:paraId="2D51EE0A" w14:textId="77777777" w:rsidR="00E20A86" w:rsidRPr="00EA0AA8" w:rsidRDefault="00E20A86" w:rsidP="00382AE3">
            <w:pPr>
              <w:rPr>
                <w:b/>
              </w:rPr>
            </w:pPr>
            <w:r w:rsidRPr="00F313B0">
              <w:rPr>
                <w:b/>
              </w:rPr>
              <w:t>TOTAAL</w:t>
            </w:r>
          </w:p>
        </w:tc>
        <w:tc>
          <w:tcPr>
            <w:tcW w:w="950" w:type="dxa"/>
            <w:tcBorders>
              <w:top w:val="single" w:sz="12" w:space="0" w:color="auto"/>
              <w:bottom w:val="single" w:sz="12" w:space="0" w:color="auto"/>
              <w:right w:val="single" w:sz="12" w:space="0" w:color="auto"/>
            </w:tcBorders>
            <w:shd w:val="clear" w:color="auto" w:fill="D0CECE"/>
          </w:tcPr>
          <w:p w14:paraId="2D51EE0B" w14:textId="77777777" w:rsidR="00E20A86" w:rsidRPr="00EA0AA8" w:rsidRDefault="004E7ECA" w:rsidP="004E7ECA">
            <w:pPr>
              <w:jc w:val="center"/>
              <w:rPr>
                <w:b/>
              </w:rPr>
            </w:pPr>
            <w:r>
              <w:rPr>
                <w:b/>
              </w:rPr>
              <w:t>4</w:t>
            </w:r>
          </w:p>
        </w:tc>
      </w:tr>
    </w:tbl>
    <w:p w14:paraId="2D51EE0D" w14:textId="77777777" w:rsidR="00EA26EF" w:rsidRDefault="00EA26EF" w:rsidP="00F74AC4"/>
    <w:p w14:paraId="2D51EE11" w14:textId="2672847D" w:rsidR="00C852C7" w:rsidRDefault="005727B7" w:rsidP="004D1D28">
      <w:pPr>
        <w:ind w:firstLine="227"/>
      </w:pPr>
      <w:r w:rsidRPr="00193994">
        <w:t>Verandering</w:t>
      </w:r>
      <w:r>
        <w:t xml:space="preserve"> sinds 2015: neutraal</w:t>
      </w:r>
      <w:r w:rsidRPr="00193994">
        <w:t xml:space="preserve"> = </w:t>
      </w:r>
      <w:r w:rsidRPr="00193994">
        <w:sym w:font="Wingdings" w:char="F0E8"/>
      </w:r>
    </w:p>
    <w:p w14:paraId="125176BF" w14:textId="77777777" w:rsidR="005727B7" w:rsidRDefault="005727B7" w:rsidP="00F74AC4"/>
    <w:p w14:paraId="2D51EE12" w14:textId="77777777" w:rsidR="00F366F4" w:rsidRPr="00F366F4" w:rsidRDefault="00F366F4" w:rsidP="004C56D9">
      <w:pPr>
        <w:pStyle w:val="Heading2"/>
        <w:numPr>
          <w:ilvl w:val="1"/>
          <w:numId w:val="7"/>
        </w:numPr>
        <w:tabs>
          <w:tab w:val="left" w:pos="-1162"/>
          <w:tab w:val="left" w:pos="0"/>
        </w:tabs>
        <w:spacing w:line="240" w:lineRule="auto"/>
        <w:ind w:left="0" w:hanging="1134"/>
        <w:rPr>
          <w:lang w:val="en-US"/>
        </w:rPr>
      </w:pPr>
      <w:bookmarkStart w:id="31" w:name="_Toc491260353"/>
      <w:r w:rsidRPr="00A13499">
        <w:t>Partnerschappen</w:t>
      </w:r>
      <w:r w:rsidR="00422948">
        <w:t xml:space="preserve"> en samenwerking</w:t>
      </w:r>
      <w:bookmarkEnd w:id="31"/>
    </w:p>
    <w:p w14:paraId="2D51EE14" w14:textId="1FD97288" w:rsidR="0055326D" w:rsidRDefault="007913EF" w:rsidP="000D0473">
      <w:r>
        <w:t xml:space="preserve">WFP is de eerste </w:t>
      </w:r>
      <w:r w:rsidR="00F91F5E">
        <w:t>VN-organisatie</w:t>
      </w:r>
      <w:r>
        <w:t xml:space="preserve"> die zo’n 10 jaar geleden actief ‘de deur open heeft gezet’ en op zoek is gegaan naar samenwerking met de private sector. </w:t>
      </w:r>
      <w:r w:rsidR="0069158B">
        <w:t xml:space="preserve">Het huidige beleid hieromtrent is vastgelegd in de </w:t>
      </w:r>
      <w:r w:rsidR="0055326D" w:rsidRPr="00352DFB">
        <w:rPr>
          <w:i/>
        </w:rPr>
        <w:t xml:space="preserve">Corporate Partnership </w:t>
      </w:r>
      <w:proofErr w:type="spellStart"/>
      <w:r w:rsidR="0055326D" w:rsidRPr="00352DFB">
        <w:rPr>
          <w:i/>
        </w:rPr>
        <w:t>Strategy</w:t>
      </w:r>
      <w:proofErr w:type="spellEnd"/>
      <w:r w:rsidR="007233D4">
        <w:rPr>
          <w:i/>
        </w:rPr>
        <w:t xml:space="preserve"> (2014-2017)</w:t>
      </w:r>
      <w:r w:rsidR="0069158B">
        <w:t xml:space="preserve">. </w:t>
      </w:r>
      <w:r w:rsidR="0055326D">
        <w:t>D</w:t>
      </w:r>
      <w:r w:rsidR="0069158B">
        <w:t>e partnerschappen kennen d</w:t>
      </w:r>
      <w:r w:rsidR="0055326D">
        <w:t xml:space="preserve">rie principes: </w:t>
      </w:r>
      <w:r w:rsidR="00C852C7">
        <w:t xml:space="preserve">(1) </w:t>
      </w:r>
      <w:r w:rsidR="0055326D">
        <w:t xml:space="preserve">het combineren van complementaire middelen, </w:t>
      </w:r>
      <w:r w:rsidR="00C852C7">
        <w:t xml:space="preserve">(2) </w:t>
      </w:r>
      <w:r w:rsidR="0055326D">
        <w:t xml:space="preserve">het delen van risico’s en verantwoordelijkheden, en </w:t>
      </w:r>
      <w:r w:rsidR="00C852C7">
        <w:t xml:space="preserve">(3) </w:t>
      </w:r>
      <w:r w:rsidR="0055326D">
        <w:t xml:space="preserve">op een transparante en wederzijds voordelige manier werken. Door middel van </w:t>
      </w:r>
      <w:proofErr w:type="spellStart"/>
      <w:r w:rsidR="0055326D" w:rsidRPr="00422F0D">
        <w:rPr>
          <w:i/>
        </w:rPr>
        <w:t>good</w:t>
      </w:r>
      <w:proofErr w:type="spellEnd"/>
      <w:r w:rsidR="0055326D" w:rsidRPr="00422F0D">
        <w:rPr>
          <w:i/>
        </w:rPr>
        <w:t xml:space="preserve"> partnership </w:t>
      </w:r>
      <w:proofErr w:type="spellStart"/>
      <w:r w:rsidR="0055326D" w:rsidRPr="00422F0D">
        <w:rPr>
          <w:i/>
        </w:rPr>
        <w:t>principles</w:t>
      </w:r>
      <w:proofErr w:type="spellEnd"/>
      <w:r w:rsidR="0055326D">
        <w:t xml:space="preserve"> wordt de samenwerking met derden op alle niveaus gestimuleerd. Hiermee </w:t>
      </w:r>
      <w:r w:rsidR="0069158B">
        <w:t xml:space="preserve">blijft WFP een </w:t>
      </w:r>
      <w:r w:rsidR="0055326D">
        <w:t xml:space="preserve">voortrekkersrol </w:t>
      </w:r>
      <w:r w:rsidR="0069158B">
        <w:t>op</w:t>
      </w:r>
      <w:r w:rsidR="0055326D">
        <w:t xml:space="preserve"> het gebied van publiek-private samenwerking binnen de VN </w:t>
      </w:r>
      <w:r w:rsidR="0069158B">
        <w:t xml:space="preserve">spelen. Er is een groot aantal </w:t>
      </w:r>
      <w:r w:rsidR="0055326D">
        <w:t xml:space="preserve">strategische partnerschappen, die </w:t>
      </w:r>
      <w:r w:rsidR="0069158B">
        <w:t xml:space="preserve">naast een </w:t>
      </w:r>
      <w:r w:rsidR="0055326D">
        <w:t xml:space="preserve">financiële bijdrage </w:t>
      </w:r>
      <w:r w:rsidR="0069158B">
        <w:t xml:space="preserve">van de partner </w:t>
      </w:r>
      <w:r w:rsidR="0055326D">
        <w:t>werkelijk meerwaarde hebben voor het werk van de organisatie (b.v. door kennisuitwisseling, technologieoverdracht of het gezamenlijk uitvoeren van programma’s).</w:t>
      </w:r>
      <w:r w:rsidR="0069158B">
        <w:t xml:space="preserve"> Een aantal van deze partnerschappen loopt al sinds de beginfase en het mag da</w:t>
      </w:r>
      <w:r w:rsidR="00C852C7">
        <w:t>n</w:t>
      </w:r>
      <w:r w:rsidR="0069158B">
        <w:t xml:space="preserve"> ook geconcludeerd worden dat WFP als een betrouwbare partner wordt gezien. </w:t>
      </w:r>
    </w:p>
    <w:p w14:paraId="2D51EE15" w14:textId="77777777" w:rsidR="0055326D" w:rsidRDefault="0055326D" w:rsidP="0055326D"/>
    <w:p w14:paraId="2D51EE16" w14:textId="3E5D17E3" w:rsidR="0069158B" w:rsidRDefault="0069158B" w:rsidP="000D0473">
      <w:r>
        <w:t xml:space="preserve">Binnen het </w:t>
      </w:r>
      <w:r w:rsidRPr="00B5227E">
        <w:t>humanitaire</w:t>
      </w:r>
      <w:r>
        <w:t xml:space="preserve"> systeem van de VN maakt WFP deel uit van het</w:t>
      </w:r>
      <w:r w:rsidR="000D0473">
        <w:t xml:space="preserve"> </w:t>
      </w:r>
      <w:r w:rsidRPr="00B5227E">
        <w:t xml:space="preserve">coördinatiemechanisme onder leiding van OCHA en werkt in crisissituaties nauw samen met o.a. UNHCR en UNICEF. WFP </w:t>
      </w:r>
      <w:r w:rsidR="0085531B">
        <w:t xml:space="preserve">heeft de leiding over het logistiek cluster </w:t>
      </w:r>
      <w:r w:rsidR="00C852C7">
        <w:t xml:space="preserve">en telecommunicatie cluster </w:t>
      </w:r>
      <w:r w:rsidR="0085531B">
        <w:t xml:space="preserve">en </w:t>
      </w:r>
      <w:r w:rsidRPr="00B5227E">
        <w:t xml:space="preserve">beheert de </w:t>
      </w:r>
      <w:r w:rsidRPr="00B5227E">
        <w:rPr>
          <w:i/>
        </w:rPr>
        <w:t xml:space="preserve">United Nations </w:t>
      </w:r>
      <w:proofErr w:type="spellStart"/>
      <w:r w:rsidRPr="00B5227E">
        <w:rPr>
          <w:i/>
        </w:rPr>
        <w:t>Humanitarian</w:t>
      </w:r>
      <w:proofErr w:type="spellEnd"/>
      <w:r w:rsidRPr="00B5227E">
        <w:rPr>
          <w:i/>
        </w:rPr>
        <w:t xml:space="preserve"> Air Services</w:t>
      </w:r>
      <w:r w:rsidR="0085531B">
        <w:rPr>
          <w:i/>
        </w:rPr>
        <w:t>.</w:t>
      </w:r>
      <w:r w:rsidRPr="00B5227E">
        <w:t xml:space="preserve"> </w:t>
      </w:r>
      <w:r w:rsidR="0085531B">
        <w:t xml:space="preserve">Samen met de FAO leidt </w:t>
      </w:r>
      <w:r w:rsidRPr="00B5227E">
        <w:t>WFP het wereldwijde voedselzekerheidscluster</w:t>
      </w:r>
      <w:r>
        <w:t>.</w:t>
      </w:r>
      <w:r w:rsidRPr="00B5227E">
        <w:t xml:space="preserve"> </w:t>
      </w:r>
      <w:r w:rsidR="0085531B">
        <w:t xml:space="preserve">Uit een </w:t>
      </w:r>
      <w:r>
        <w:t xml:space="preserve">gemeenschappelijke evaluatie </w:t>
      </w:r>
      <w:r w:rsidR="0085531B">
        <w:t>in 2014 bleek dat deze</w:t>
      </w:r>
      <w:r>
        <w:t xml:space="preserve"> coördinatie meerwaarde heeft voor de betrokken organisaties. </w:t>
      </w:r>
      <w:r w:rsidR="0085531B">
        <w:t xml:space="preserve">Er waren ook verbeterpunten op het gebied van </w:t>
      </w:r>
      <w:r w:rsidRPr="005C6821">
        <w:rPr>
          <w:i/>
        </w:rPr>
        <w:t>‘</w:t>
      </w:r>
      <w:proofErr w:type="spellStart"/>
      <w:r w:rsidRPr="005C6821">
        <w:rPr>
          <w:i/>
        </w:rPr>
        <w:t>needs</w:t>
      </w:r>
      <w:proofErr w:type="spellEnd"/>
      <w:r w:rsidRPr="005C6821">
        <w:rPr>
          <w:i/>
        </w:rPr>
        <w:t xml:space="preserve"> assessments’</w:t>
      </w:r>
      <w:r>
        <w:t>, aandacht voor ‘</w:t>
      </w:r>
      <w:proofErr w:type="spellStart"/>
      <w:r w:rsidRPr="005C6821">
        <w:rPr>
          <w:i/>
        </w:rPr>
        <w:t>preparedness</w:t>
      </w:r>
      <w:proofErr w:type="spellEnd"/>
      <w:r w:rsidRPr="005C6821">
        <w:rPr>
          <w:i/>
        </w:rPr>
        <w:t>’</w:t>
      </w:r>
      <w:r>
        <w:t xml:space="preserve"> en ruimte voor effectievere monitoring en evaluatie.</w:t>
      </w:r>
      <w:r w:rsidR="0085531B">
        <w:t xml:space="preserve"> </w:t>
      </w:r>
      <w:r w:rsidR="001474EB">
        <w:t xml:space="preserve">Een goed voorbeeld van de impact van </w:t>
      </w:r>
      <w:proofErr w:type="spellStart"/>
      <w:r w:rsidR="001474EB">
        <w:t>WFP’s</w:t>
      </w:r>
      <w:proofErr w:type="spellEnd"/>
      <w:r w:rsidR="001474EB">
        <w:t xml:space="preserve"> partnerschappen op het bredere humanitaire systeem is het </w:t>
      </w:r>
      <w:r w:rsidR="00BB22D0">
        <w:t xml:space="preserve">credit card </w:t>
      </w:r>
      <w:r w:rsidR="001474EB">
        <w:t xml:space="preserve">platform dat WFP in samenwerking met Mastercard heeft ontwikkeld voor </w:t>
      </w:r>
      <w:r w:rsidR="00BB22D0">
        <w:t xml:space="preserve">haar </w:t>
      </w:r>
      <w:r w:rsidR="001474EB" w:rsidRPr="00BB22D0">
        <w:rPr>
          <w:i/>
        </w:rPr>
        <w:t>Cash-</w:t>
      </w:r>
      <w:proofErr w:type="spellStart"/>
      <w:r w:rsidR="001474EB" w:rsidRPr="00BB22D0">
        <w:rPr>
          <w:i/>
        </w:rPr>
        <w:t>Based</w:t>
      </w:r>
      <w:proofErr w:type="spellEnd"/>
      <w:r w:rsidR="001474EB" w:rsidRPr="00BB22D0">
        <w:rPr>
          <w:i/>
        </w:rPr>
        <w:t xml:space="preserve"> Transfers</w:t>
      </w:r>
      <w:r w:rsidR="00BB22D0">
        <w:t>. In samenwerking met UNHCR en UNICEF wordt dit platform nu op een aantal plaatsen gebruikt voor de distributie van non-food items van deze partnerorganisaties.</w:t>
      </w:r>
      <w:r w:rsidR="00BF2E81">
        <w:t xml:space="preserve"> </w:t>
      </w:r>
    </w:p>
    <w:p w14:paraId="2D51EE17" w14:textId="77777777" w:rsidR="0069158B" w:rsidRPr="00B5227E" w:rsidRDefault="0069158B" w:rsidP="0069158B"/>
    <w:p w14:paraId="2D51EE18" w14:textId="4C0B0127" w:rsidR="00CB18F9" w:rsidRPr="00CB18F9" w:rsidRDefault="00455A2A" w:rsidP="000D0473">
      <w:pPr>
        <w:rPr>
          <w:szCs w:val="18"/>
        </w:rPr>
      </w:pPr>
      <w:r>
        <w:rPr>
          <w:szCs w:val="18"/>
        </w:rPr>
        <w:t>O</w:t>
      </w:r>
      <w:r w:rsidR="00EA31F1">
        <w:rPr>
          <w:szCs w:val="18"/>
        </w:rPr>
        <w:t>p</w:t>
      </w:r>
      <w:r>
        <w:rPr>
          <w:szCs w:val="18"/>
        </w:rPr>
        <w:t xml:space="preserve"> het gebied van voedselzekerheid en SDG2 werken d</w:t>
      </w:r>
      <w:r w:rsidR="0055326D" w:rsidRPr="00352DFB">
        <w:rPr>
          <w:szCs w:val="18"/>
        </w:rPr>
        <w:t xml:space="preserve">e drie Romeinse VN-instellingen (FAO, IFAD en WFP) </w:t>
      </w:r>
      <w:r w:rsidR="008D3696">
        <w:rPr>
          <w:szCs w:val="18"/>
        </w:rPr>
        <w:t xml:space="preserve">nauw </w:t>
      </w:r>
      <w:r>
        <w:rPr>
          <w:szCs w:val="18"/>
        </w:rPr>
        <w:t>samen</w:t>
      </w:r>
      <w:r w:rsidR="007233D4">
        <w:rPr>
          <w:szCs w:val="18"/>
        </w:rPr>
        <w:t>.</w:t>
      </w:r>
      <w:r>
        <w:rPr>
          <w:szCs w:val="18"/>
        </w:rPr>
        <w:t xml:space="preserve"> Deze samenwerking is soms moeizaam, mede ingegeven door het verschillende DNA van de 3 organisaties (</w:t>
      </w:r>
      <w:r w:rsidR="00C852C7">
        <w:rPr>
          <w:szCs w:val="18"/>
        </w:rPr>
        <w:t xml:space="preserve">respectievelijk </w:t>
      </w:r>
      <w:r>
        <w:rPr>
          <w:szCs w:val="18"/>
        </w:rPr>
        <w:t>normatief, financieel en operationeel)</w:t>
      </w:r>
      <w:r w:rsidR="008D3696">
        <w:rPr>
          <w:szCs w:val="18"/>
        </w:rPr>
        <w:t xml:space="preserve">. </w:t>
      </w:r>
      <w:r w:rsidR="00CB18F9">
        <w:rPr>
          <w:szCs w:val="18"/>
        </w:rPr>
        <w:t>I</w:t>
      </w:r>
      <w:r w:rsidR="00CB18F9" w:rsidRPr="00CB18F9">
        <w:rPr>
          <w:szCs w:val="18"/>
        </w:rPr>
        <w:t xml:space="preserve">n 2016 </w:t>
      </w:r>
      <w:r w:rsidR="00CB18F9">
        <w:rPr>
          <w:szCs w:val="18"/>
        </w:rPr>
        <w:t>heeft een belangrijk</w:t>
      </w:r>
      <w:r w:rsidR="00C852C7">
        <w:rPr>
          <w:szCs w:val="18"/>
        </w:rPr>
        <w:t>e</w:t>
      </w:r>
      <w:r w:rsidR="00CB18F9">
        <w:rPr>
          <w:szCs w:val="18"/>
        </w:rPr>
        <w:t xml:space="preserve"> discussie </w:t>
      </w:r>
      <w:r w:rsidR="00CB18F9" w:rsidRPr="00CB18F9">
        <w:rPr>
          <w:szCs w:val="18"/>
        </w:rPr>
        <w:t>plaats</w:t>
      </w:r>
      <w:r w:rsidR="00CB18F9">
        <w:rPr>
          <w:szCs w:val="18"/>
        </w:rPr>
        <w:t xml:space="preserve">gevonden </w:t>
      </w:r>
      <w:r w:rsidR="00CB18F9" w:rsidRPr="00CB18F9">
        <w:rPr>
          <w:szCs w:val="18"/>
        </w:rPr>
        <w:t xml:space="preserve">over grotere onderlinge samenwerking tussen de </w:t>
      </w:r>
      <w:r w:rsidR="00BF2E81">
        <w:rPr>
          <w:szCs w:val="18"/>
        </w:rPr>
        <w:t>drie Romeinse Instellingen.</w:t>
      </w:r>
      <w:r w:rsidR="00CB18F9" w:rsidRPr="00CB18F9">
        <w:rPr>
          <w:szCs w:val="18"/>
        </w:rPr>
        <w:t xml:space="preserve"> Met Nederland als een van aanjagers is een proces opgestart, waarbij brede druk vanuit de lidstaten heeft geresulteer</w:t>
      </w:r>
      <w:r w:rsidR="00BF2E81">
        <w:rPr>
          <w:szCs w:val="18"/>
        </w:rPr>
        <w:t xml:space="preserve">d in een samenwerkingsdocument dat </w:t>
      </w:r>
      <w:r w:rsidR="00CB18F9" w:rsidRPr="00CB18F9">
        <w:rPr>
          <w:szCs w:val="18"/>
        </w:rPr>
        <w:t xml:space="preserve">4 </w:t>
      </w:r>
      <w:r w:rsidR="00BF2E81">
        <w:rPr>
          <w:szCs w:val="18"/>
        </w:rPr>
        <w:t>niveaus</w:t>
      </w:r>
      <w:r w:rsidR="00CB18F9" w:rsidRPr="00CB18F9">
        <w:rPr>
          <w:szCs w:val="18"/>
        </w:rPr>
        <w:t xml:space="preserve"> v</w:t>
      </w:r>
      <w:r w:rsidR="00BF2E81">
        <w:rPr>
          <w:szCs w:val="18"/>
        </w:rPr>
        <w:t>a</w:t>
      </w:r>
      <w:r w:rsidR="00CB18F9" w:rsidRPr="00CB18F9">
        <w:rPr>
          <w:szCs w:val="18"/>
        </w:rPr>
        <w:t xml:space="preserve">n </w:t>
      </w:r>
      <w:r w:rsidR="00BF2E81">
        <w:rPr>
          <w:szCs w:val="18"/>
        </w:rPr>
        <w:t xml:space="preserve">intensievere </w:t>
      </w:r>
      <w:r w:rsidR="00CB18F9" w:rsidRPr="00CB18F9">
        <w:rPr>
          <w:szCs w:val="18"/>
        </w:rPr>
        <w:t>samenwerking</w:t>
      </w:r>
      <w:r w:rsidR="00BF2E81">
        <w:rPr>
          <w:szCs w:val="18"/>
        </w:rPr>
        <w:t xml:space="preserve"> aangeeft</w:t>
      </w:r>
      <w:r w:rsidR="00CB18F9" w:rsidRPr="00CB18F9">
        <w:rPr>
          <w:szCs w:val="18"/>
        </w:rPr>
        <w:t>: regionaal</w:t>
      </w:r>
      <w:r w:rsidR="00BF2E81">
        <w:rPr>
          <w:szCs w:val="18"/>
        </w:rPr>
        <w:t xml:space="preserve">/landenniveau (o.a. </w:t>
      </w:r>
      <w:r w:rsidR="00D055D6">
        <w:rPr>
          <w:szCs w:val="18"/>
        </w:rPr>
        <w:t xml:space="preserve">gezamenlijke </w:t>
      </w:r>
      <w:r w:rsidR="00BF2E81">
        <w:rPr>
          <w:szCs w:val="18"/>
        </w:rPr>
        <w:t>landen</w:t>
      </w:r>
      <w:r w:rsidR="00CB18F9" w:rsidRPr="00CB18F9">
        <w:rPr>
          <w:szCs w:val="18"/>
        </w:rPr>
        <w:t>teams die samen concrete samenwerkingsmogelijkheden identificeren);</w:t>
      </w:r>
      <w:r w:rsidR="000D0473">
        <w:rPr>
          <w:szCs w:val="18"/>
        </w:rPr>
        <w:t xml:space="preserve"> </w:t>
      </w:r>
      <w:r w:rsidR="00CB18F9" w:rsidRPr="00CB18F9">
        <w:rPr>
          <w:szCs w:val="18"/>
        </w:rPr>
        <w:t xml:space="preserve">mondiaal (o.a. gemeenschappelijke communicatie en </w:t>
      </w:r>
      <w:proofErr w:type="spellStart"/>
      <w:r w:rsidR="00CB18F9" w:rsidRPr="00F91F5E">
        <w:rPr>
          <w:i/>
          <w:szCs w:val="18"/>
        </w:rPr>
        <w:t>advocacy</w:t>
      </w:r>
      <w:proofErr w:type="spellEnd"/>
      <w:r w:rsidR="00CB18F9" w:rsidRPr="00CB18F9">
        <w:rPr>
          <w:szCs w:val="18"/>
        </w:rPr>
        <w:t>; samenwerking b</w:t>
      </w:r>
      <w:r w:rsidR="00BF2E81">
        <w:rPr>
          <w:szCs w:val="18"/>
        </w:rPr>
        <w:t xml:space="preserve">ij SDG monitoring); thematisch </w:t>
      </w:r>
      <w:r w:rsidR="00CB18F9" w:rsidRPr="00CB18F9">
        <w:rPr>
          <w:szCs w:val="18"/>
        </w:rPr>
        <w:t>(</w:t>
      </w:r>
      <w:r w:rsidR="00BF2E81">
        <w:rPr>
          <w:szCs w:val="18"/>
        </w:rPr>
        <w:t xml:space="preserve">o.a. </w:t>
      </w:r>
      <w:r w:rsidR="00CB18F9" w:rsidRPr="00CB18F9">
        <w:rPr>
          <w:szCs w:val="18"/>
        </w:rPr>
        <w:t xml:space="preserve">op </w:t>
      </w:r>
      <w:r w:rsidR="00BF2E81">
        <w:rPr>
          <w:szCs w:val="18"/>
        </w:rPr>
        <w:t>het gebied van weerbaarheid</w:t>
      </w:r>
      <w:r w:rsidR="00CB18F9" w:rsidRPr="00CB18F9">
        <w:rPr>
          <w:szCs w:val="18"/>
        </w:rPr>
        <w:t>, klimaat, voeding</w:t>
      </w:r>
      <w:r w:rsidR="00BF2E81">
        <w:rPr>
          <w:szCs w:val="18"/>
        </w:rPr>
        <w:t xml:space="preserve"> en</w:t>
      </w:r>
      <w:r w:rsidR="00CB18F9" w:rsidRPr="00CB18F9">
        <w:rPr>
          <w:szCs w:val="18"/>
        </w:rPr>
        <w:t xml:space="preserve"> gender); joint corporate services (o.a. intensievere samenwerking bij evaluatie, </w:t>
      </w:r>
      <w:proofErr w:type="spellStart"/>
      <w:r w:rsidR="00CB18F9" w:rsidRPr="00F91F5E">
        <w:rPr>
          <w:i/>
          <w:szCs w:val="18"/>
        </w:rPr>
        <w:t>auditing</w:t>
      </w:r>
      <w:proofErr w:type="spellEnd"/>
      <w:r w:rsidR="00BF2E81">
        <w:rPr>
          <w:szCs w:val="18"/>
        </w:rPr>
        <w:t xml:space="preserve"> en</w:t>
      </w:r>
      <w:r w:rsidR="00CB18F9" w:rsidRPr="00CB18F9">
        <w:rPr>
          <w:szCs w:val="18"/>
        </w:rPr>
        <w:t xml:space="preserve"> financi</w:t>
      </w:r>
      <w:r w:rsidR="00C852C7">
        <w:rPr>
          <w:szCs w:val="18"/>
        </w:rPr>
        <w:t>ë</w:t>
      </w:r>
      <w:r w:rsidR="00CB18F9" w:rsidRPr="00CB18F9">
        <w:rPr>
          <w:szCs w:val="18"/>
        </w:rPr>
        <w:t>le administratie</w:t>
      </w:r>
      <w:r w:rsidR="00BF2E81">
        <w:rPr>
          <w:szCs w:val="18"/>
        </w:rPr>
        <w:t>)</w:t>
      </w:r>
      <w:r w:rsidR="00CB18F9" w:rsidRPr="00CB18F9">
        <w:rPr>
          <w:szCs w:val="18"/>
        </w:rPr>
        <w:t xml:space="preserve">. </w:t>
      </w:r>
    </w:p>
    <w:p w14:paraId="2D51EE19" w14:textId="77777777" w:rsidR="00B80F68" w:rsidRDefault="00B80F68" w:rsidP="0055326D">
      <w:pPr>
        <w:rPr>
          <w:szCs w:val="18"/>
        </w:rPr>
      </w:pPr>
    </w:p>
    <w:p w14:paraId="2D51EE1A" w14:textId="116E5712" w:rsidR="0055326D" w:rsidRPr="00352DFB" w:rsidRDefault="008D3696" w:rsidP="000D0473">
      <w:pPr>
        <w:rPr>
          <w:szCs w:val="18"/>
        </w:rPr>
      </w:pPr>
      <w:r>
        <w:rPr>
          <w:szCs w:val="18"/>
        </w:rPr>
        <w:t>E</w:t>
      </w:r>
      <w:r w:rsidR="003C7479">
        <w:rPr>
          <w:szCs w:val="18"/>
        </w:rPr>
        <w:t xml:space="preserve">en </w:t>
      </w:r>
      <w:r w:rsidR="00CB18F9">
        <w:rPr>
          <w:szCs w:val="18"/>
        </w:rPr>
        <w:t xml:space="preserve">ander voorbeeld van samenwerking </w:t>
      </w:r>
      <w:r>
        <w:rPr>
          <w:szCs w:val="18"/>
        </w:rPr>
        <w:t xml:space="preserve">is </w:t>
      </w:r>
      <w:r w:rsidR="0055326D" w:rsidRPr="00352DFB">
        <w:rPr>
          <w:szCs w:val="18"/>
        </w:rPr>
        <w:t xml:space="preserve">het </w:t>
      </w:r>
      <w:proofErr w:type="spellStart"/>
      <w:r w:rsidR="0055326D" w:rsidRPr="00352DFB">
        <w:rPr>
          <w:i/>
          <w:szCs w:val="18"/>
        </w:rPr>
        <w:t>Committee</w:t>
      </w:r>
      <w:proofErr w:type="spellEnd"/>
      <w:r w:rsidR="0055326D" w:rsidRPr="00352DFB">
        <w:rPr>
          <w:i/>
          <w:szCs w:val="18"/>
        </w:rPr>
        <w:t xml:space="preserve"> on World Food Security </w:t>
      </w:r>
      <w:r w:rsidR="0055326D" w:rsidRPr="00352DFB">
        <w:rPr>
          <w:szCs w:val="18"/>
        </w:rPr>
        <w:t xml:space="preserve">(CFS), </w:t>
      </w:r>
      <w:r w:rsidR="0055326D">
        <w:rPr>
          <w:szCs w:val="18"/>
        </w:rPr>
        <w:t xml:space="preserve">dat door </w:t>
      </w:r>
      <w:r w:rsidR="0055326D" w:rsidRPr="00352DFB">
        <w:rPr>
          <w:szCs w:val="18"/>
        </w:rPr>
        <w:t>de drie instellingen gezamenlijk</w:t>
      </w:r>
      <w:r w:rsidR="0055326D">
        <w:rPr>
          <w:szCs w:val="18"/>
        </w:rPr>
        <w:t xml:space="preserve"> en gelijkwaardig wordt ondersteund</w:t>
      </w:r>
      <w:r w:rsidR="0055326D" w:rsidRPr="00352DFB">
        <w:rPr>
          <w:szCs w:val="18"/>
        </w:rPr>
        <w:t xml:space="preserve">. Ook in andere mondiale processen wordt </w:t>
      </w:r>
      <w:r>
        <w:rPr>
          <w:szCs w:val="18"/>
        </w:rPr>
        <w:t xml:space="preserve">steeds </w:t>
      </w:r>
      <w:r w:rsidR="0055326D">
        <w:rPr>
          <w:szCs w:val="18"/>
        </w:rPr>
        <w:t>beter</w:t>
      </w:r>
      <w:r w:rsidR="0055326D" w:rsidRPr="00352DFB">
        <w:rPr>
          <w:szCs w:val="18"/>
        </w:rPr>
        <w:t xml:space="preserve"> samengewerkt: </w:t>
      </w:r>
      <w:r w:rsidR="0055326D">
        <w:rPr>
          <w:szCs w:val="18"/>
        </w:rPr>
        <w:t xml:space="preserve">voorbeelden zijn </w:t>
      </w:r>
      <w:proofErr w:type="spellStart"/>
      <w:r w:rsidR="0055326D" w:rsidRPr="002C3EA4">
        <w:rPr>
          <w:i/>
          <w:szCs w:val="18"/>
        </w:rPr>
        <w:t>Scaling</w:t>
      </w:r>
      <w:proofErr w:type="spellEnd"/>
      <w:r w:rsidR="0055326D" w:rsidRPr="002C3EA4">
        <w:rPr>
          <w:i/>
          <w:szCs w:val="18"/>
        </w:rPr>
        <w:t xml:space="preserve"> Up </w:t>
      </w:r>
      <w:proofErr w:type="spellStart"/>
      <w:r w:rsidR="0055326D" w:rsidRPr="002C3EA4">
        <w:rPr>
          <w:i/>
          <w:szCs w:val="18"/>
        </w:rPr>
        <w:t>Nutrition</w:t>
      </w:r>
      <w:proofErr w:type="spellEnd"/>
      <w:r w:rsidR="0055326D" w:rsidRPr="002C3EA4">
        <w:rPr>
          <w:szCs w:val="18"/>
        </w:rPr>
        <w:t xml:space="preserve">, </w:t>
      </w:r>
      <w:proofErr w:type="spellStart"/>
      <w:r w:rsidR="0055326D" w:rsidRPr="002C3EA4">
        <w:rPr>
          <w:rFonts w:eastAsia="Verdana" w:cs="Verdana"/>
          <w:i/>
          <w:szCs w:val="18"/>
        </w:rPr>
        <w:t>Renewed</w:t>
      </w:r>
      <w:proofErr w:type="spellEnd"/>
      <w:r w:rsidR="0055326D" w:rsidRPr="002C3EA4">
        <w:rPr>
          <w:rFonts w:eastAsia="Verdana" w:cs="Verdana"/>
          <w:i/>
          <w:szCs w:val="18"/>
        </w:rPr>
        <w:t xml:space="preserve"> </w:t>
      </w:r>
      <w:proofErr w:type="spellStart"/>
      <w:r w:rsidR="0055326D" w:rsidRPr="002C3EA4">
        <w:rPr>
          <w:rFonts w:eastAsia="Verdana" w:cs="Verdana"/>
          <w:i/>
          <w:szCs w:val="18"/>
        </w:rPr>
        <w:t>Efforts</w:t>
      </w:r>
      <w:proofErr w:type="spellEnd"/>
      <w:r w:rsidR="0055326D" w:rsidRPr="002C3EA4">
        <w:rPr>
          <w:rFonts w:eastAsia="Verdana" w:cs="Verdana"/>
          <w:i/>
          <w:szCs w:val="18"/>
        </w:rPr>
        <w:t xml:space="preserve"> </w:t>
      </w:r>
      <w:proofErr w:type="spellStart"/>
      <w:r w:rsidR="0055326D" w:rsidRPr="002C3EA4">
        <w:rPr>
          <w:rFonts w:eastAsia="Verdana" w:cs="Verdana"/>
          <w:i/>
          <w:szCs w:val="18"/>
        </w:rPr>
        <w:t>Against</w:t>
      </w:r>
      <w:proofErr w:type="spellEnd"/>
      <w:r w:rsidR="0055326D" w:rsidRPr="002C3EA4">
        <w:rPr>
          <w:rFonts w:eastAsia="Verdana" w:cs="Verdana"/>
          <w:i/>
          <w:szCs w:val="18"/>
        </w:rPr>
        <w:t xml:space="preserve"> Child Hunger </w:t>
      </w:r>
      <w:proofErr w:type="spellStart"/>
      <w:r w:rsidR="0055326D" w:rsidRPr="002C3EA4">
        <w:rPr>
          <w:rFonts w:eastAsia="Verdana" w:cs="Verdana"/>
          <w:i/>
          <w:szCs w:val="18"/>
        </w:rPr>
        <w:t>and</w:t>
      </w:r>
      <w:proofErr w:type="spellEnd"/>
      <w:r w:rsidR="0055326D" w:rsidRPr="002C3EA4">
        <w:rPr>
          <w:rFonts w:eastAsia="Verdana" w:cs="Verdana"/>
          <w:i/>
          <w:szCs w:val="18"/>
        </w:rPr>
        <w:t xml:space="preserve"> </w:t>
      </w:r>
      <w:proofErr w:type="spellStart"/>
      <w:r w:rsidR="0055326D" w:rsidRPr="002C3EA4">
        <w:rPr>
          <w:rFonts w:eastAsia="Verdana" w:cs="Verdana"/>
          <w:i/>
          <w:szCs w:val="18"/>
        </w:rPr>
        <w:t>Undernutrition</w:t>
      </w:r>
      <w:proofErr w:type="spellEnd"/>
      <w:r w:rsidR="0055326D" w:rsidRPr="002C3EA4">
        <w:rPr>
          <w:rFonts w:eastAsia="Verdana" w:cs="Verdana"/>
          <w:szCs w:val="18"/>
        </w:rPr>
        <w:t xml:space="preserve"> en de </w:t>
      </w:r>
      <w:r w:rsidR="0055326D" w:rsidRPr="002C3EA4">
        <w:rPr>
          <w:rFonts w:eastAsia="Verdana" w:cs="Verdana"/>
          <w:i/>
          <w:szCs w:val="18"/>
        </w:rPr>
        <w:t xml:space="preserve">International Conference on </w:t>
      </w:r>
      <w:proofErr w:type="spellStart"/>
      <w:r w:rsidR="0055326D" w:rsidRPr="002C3EA4">
        <w:rPr>
          <w:rFonts w:eastAsia="Verdana" w:cs="Verdana"/>
          <w:i/>
          <w:szCs w:val="18"/>
        </w:rPr>
        <w:t>Nutrition</w:t>
      </w:r>
      <w:proofErr w:type="spellEnd"/>
      <w:r w:rsidR="0055326D" w:rsidRPr="002C3EA4">
        <w:rPr>
          <w:rFonts w:eastAsia="Verdana" w:cs="Verdana"/>
          <w:i/>
          <w:szCs w:val="18"/>
        </w:rPr>
        <w:t xml:space="preserve"> 2</w:t>
      </w:r>
      <w:r w:rsidR="0055326D" w:rsidRPr="002C3EA4">
        <w:rPr>
          <w:szCs w:val="18"/>
        </w:rPr>
        <w:t xml:space="preserve">. </w:t>
      </w:r>
      <w:r>
        <w:rPr>
          <w:szCs w:val="18"/>
        </w:rPr>
        <w:t xml:space="preserve">Op operationeel vlak </w:t>
      </w:r>
      <w:r w:rsidR="0055326D" w:rsidRPr="00352DFB">
        <w:rPr>
          <w:szCs w:val="18"/>
        </w:rPr>
        <w:t xml:space="preserve">werkt WFP intensief samen met FAO om de lokale voedselproductie te </w:t>
      </w:r>
      <w:r>
        <w:rPr>
          <w:szCs w:val="18"/>
        </w:rPr>
        <w:t>verbeter</w:t>
      </w:r>
      <w:r w:rsidR="00C852C7">
        <w:rPr>
          <w:szCs w:val="18"/>
        </w:rPr>
        <w:t>en</w:t>
      </w:r>
      <w:r>
        <w:rPr>
          <w:szCs w:val="18"/>
        </w:rPr>
        <w:t xml:space="preserve"> in het </w:t>
      </w:r>
      <w:proofErr w:type="spellStart"/>
      <w:r w:rsidRPr="008D3696">
        <w:rPr>
          <w:i/>
          <w:szCs w:val="18"/>
        </w:rPr>
        <w:t>Purchase</w:t>
      </w:r>
      <w:proofErr w:type="spellEnd"/>
      <w:r w:rsidRPr="008D3696">
        <w:rPr>
          <w:i/>
          <w:szCs w:val="18"/>
        </w:rPr>
        <w:t xml:space="preserve"> </w:t>
      </w:r>
      <w:proofErr w:type="spellStart"/>
      <w:r w:rsidRPr="008D3696">
        <w:rPr>
          <w:i/>
          <w:szCs w:val="18"/>
        </w:rPr>
        <w:t>for</w:t>
      </w:r>
      <w:proofErr w:type="spellEnd"/>
      <w:r w:rsidRPr="008D3696">
        <w:rPr>
          <w:i/>
          <w:szCs w:val="18"/>
        </w:rPr>
        <w:t xml:space="preserve"> </w:t>
      </w:r>
      <w:proofErr w:type="spellStart"/>
      <w:r w:rsidRPr="008D3696">
        <w:rPr>
          <w:i/>
          <w:szCs w:val="18"/>
        </w:rPr>
        <w:t>Progress</w:t>
      </w:r>
      <w:proofErr w:type="spellEnd"/>
      <w:r>
        <w:rPr>
          <w:szCs w:val="18"/>
        </w:rPr>
        <w:t xml:space="preserve"> initiatief en dit </w:t>
      </w:r>
      <w:r w:rsidR="00C852C7">
        <w:rPr>
          <w:szCs w:val="18"/>
        </w:rPr>
        <w:t xml:space="preserve">te </w:t>
      </w:r>
      <w:r w:rsidR="0055326D" w:rsidRPr="00352DFB">
        <w:rPr>
          <w:szCs w:val="18"/>
        </w:rPr>
        <w:t xml:space="preserve">verbinden aan </w:t>
      </w:r>
      <w:proofErr w:type="spellStart"/>
      <w:r>
        <w:rPr>
          <w:szCs w:val="18"/>
        </w:rPr>
        <w:t>WFP’s</w:t>
      </w:r>
      <w:proofErr w:type="spellEnd"/>
      <w:r>
        <w:rPr>
          <w:szCs w:val="18"/>
        </w:rPr>
        <w:t xml:space="preserve"> </w:t>
      </w:r>
      <w:r w:rsidR="0055326D" w:rsidRPr="00352DFB">
        <w:rPr>
          <w:szCs w:val="18"/>
        </w:rPr>
        <w:t>schoolvoedsel-programma’s.</w:t>
      </w:r>
      <w:r>
        <w:rPr>
          <w:szCs w:val="18"/>
        </w:rPr>
        <w:t xml:space="preserve"> De Uitvoerende Raad wordt jaarlijks op de hoogte gehouden van de voortgang van de samenwerking tuss</w:t>
      </w:r>
      <w:r w:rsidR="00B65BCE">
        <w:rPr>
          <w:szCs w:val="18"/>
        </w:rPr>
        <w:t xml:space="preserve">en de Romeinse organisaties. </w:t>
      </w:r>
    </w:p>
    <w:p w14:paraId="2D51EE1B" w14:textId="77777777" w:rsidR="0055326D" w:rsidRPr="00181990" w:rsidRDefault="0055326D" w:rsidP="0055326D">
      <w:pPr>
        <w:rPr>
          <w:color w:val="8496B0" w:themeColor="text2" w:themeTint="99"/>
        </w:rPr>
      </w:pPr>
    </w:p>
    <w:p w14:paraId="2D51EE1C" w14:textId="7429A168" w:rsidR="00EA31F1" w:rsidRDefault="0055326D" w:rsidP="00EA31F1">
      <w:r>
        <w:t>Ten slotte</w:t>
      </w:r>
      <w:r w:rsidRPr="00067AC3">
        <w:t xml:space="preserve"> is er nauwe samenwerking met andere VN-organisaties, waar voedselhulp complementair is aan </w:t>
      </w:r>
      <w:r w:rsidR="00EA31F1">
        <w:t xml:space="preserve">de mandaten van die andere organisaties (bv. </w:t>
      </w:r>
      <w:r w:rsidRPr="00067AC3">
        <w:t>onderwijsprogramma’s (UNESCO) of gezondheid (WHO</w:t>
      </w:r>
      <w:r w:rsidR="00EA31F1">
        <w:t xml:space="preserve">). </w:t>
      </w:r>
      <w:r w:rsidRPr="00067AC3">
        <w:t xml:space="preserve">WFP werkt goed samen met overheden, lokale </w:t>
      </w:r>
      <w:proofErr w:type="spellStart"/>
      <w:r w:rsidRPr="00067AC3">
        <w:t>NGO’s</w:t>
      </w:r>
      <w:proofErr w:type="spellEnd"/>
      <w:r w:rsidRPr="00067AC3">
        <w:t xml:space="preserve"> en andere </w:t>
      </w:r>
      <w:r w:rsidR="00EA31F1">
        <w:t>org</w:t>
      </w:r>
      <w:r w:rsidRPr="00067AC3">
        <w:t xml:space="preserve">anisaties. </w:t>
      </w:r>
      <w:r w:rsidR="00C852C7">
        <w:t xml:space="preserve">Uit evaluaties van (landen)programma’s die in de afgelopen jaren zijn uitgevoerd blijkt dat </w:t>
      </w:r>
      <w:r w:rsidR="00EA31F1">
        <w:t xml:space="preserve">het </w:t>
      </w:r>
      <w:r>
        <w:t>overdragen van</w:t>
      </w:r>
      <w:r w:rsidRPr="00B5227E">
        <w:t xml:space="preserve"> taken aan andere</w:t>
      </w:r>
      <w:r w:rsidR="00EA31F1">
        <w:t>n</w:t>
      </w:r>
      <w:r>
        <w:t xml:space="preserve"> </w:t>
      </w:r>
      <w:r w:rsidRPr="00B5227E">
        <w:t xml:space="preserve">zodra </w:t>
      </w:r>
      <w:r>
        <w:t xml:space="preserve">dat opportuun </w:t>
      </w:r>
      <w:r w:rsidRPr="00B5227E">
        <w:t>is</w:t>
      </w:r>
      <w:r w:rsidR="00C852C7">
        <w:t xml:space="preserve"> een aandachtspunt is</w:t>
      </w:r>
      <w:r w:rsidR="00333CC6">
        <w:t>.</w:t>
      </w:r>
      <w:r w:rsidR="00EA31F1">
        <w:t xml:space="preserve"> In nieuwe programma’s is h</w:t>
      </w:r>
      <w:r w:rsidRPr="00B5227E">
        <w:t xml:space="preserve">iertoe in toenemende mate aandacht </w:t>
      </w:r>
      <w:r w:rsidR="00EA31F1">
        <w:t xml:space="preserve">voor de </w:t>
      </w:r>
      <w:r w:rsidRPr="00B5227E">
        <w:rPr>
          <w:i/>
        </w:rPr>
        <w:t>hand-over</w:t>
      </w:r>
      <w:r w:rsidRPr="00B5227E">
        <w:t xml:space="preserve"> en exit-strategieën</w:t>
      </w:r>
      <w:r w:rsidR="00EA31F1">
        <w:t xml:space="preserve">. </w:t>
      </w:r>
    </w:p>
    <w:p w14:paraId="2D51EE1D" w14:textId="77777777" w:rsidR="008E22BC" w:rsidRPr="00ED2F32" w:rsidRDefault="008E22BC" w:rsidP="00F4603C">
      <w:pPr>
        <w:rPr>
          <w:b/>
        </w:rPr>
      </w:pPr>
    </w:p>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63"/>
        <w:gridCol w:w="949"/>
      </w:tblGrid>
      <w:tr w:rsidR="002A310E" w:rsidRPr="00EA0AA8" w14:paraId="2D51EE20" w14:textId="77777777" w:rsidTr="00344A07">
        <w:tc>
          <w:tcPr>
            <w:tcW w:w="6763" w:type="dxa"/>
            <w:tcBorders>
              <w:top w:val="single" w:sz="12" w:space="0" w:color="auto"/>
              <w:left w:val="single" w:sz="12" w:space="0" w:color="auto"/>
              <w:bottom w:val="single" w:sz="12" w:space="0" w:color="auto"/>
            </w:tcBorders>
            <w:shd w:val="clear" w:color="auto" w:fill="D0CECE"/>
          </w:tcPr>
          <w:p w14:paraId="2D51EE1E" w14:textId="77777777" w:rsidR="002A310E" w:rsidRPr="00EA0AA8" w:rsidRDefault="002A310E" w:rsidP="00382AE3">
            <w:pPr>
              <w:rPr>
                <w:b/>
              </w:rPr>
            </w:pPr>
            <w:r w:rsidRPr="00EA0AA8">
              <w:rPr>
                <w:b/>
              </w:rPr>
              <w:t>Onderdeel</w:t>
            </w:r>
          </w:p>
        </w:tc>
        <w:tc>
          <w:tcPr>
            <w:tcW w:w="949" w:type="dxa"/>
            <w:tcBorders>
              <w:top w:val="single" w:sz="12" w:space="0" w:color="auto"/>
              <w:bottom w:val="single" w:sz="12" w:space="0" w:color="auto"/>
              <w:right w:val="single" w:sz="12" w:space="0" w:color="auto"/>
            </w:tcBorders>
            <w:shd w:val="clear" w:color="auto" w:fill="D0CECE"/>
          </w:tcPr>
          <w:p w14:paraId="2D51EE1F" w14:textId="77777777" w:rsidR="002A310E" w:rsidRPr="00EA0AA8" w:rsidRDefault="002A310E" w:rsidP="00382AE3">
            <w:pPr>
              <w:rPr>
                <w:b/>
              </w:rPr>
            </w:pPr>
            <w:r w:rsidRPr="00EA0AA8">
              <w:rPr>
                <w:b/>
              </w:rPr>
              <w:t>Score</w:t>
            </w:r>
          </w:p>
        </w:tc>
      </w:tr>
      <w:tr w:rsidR="002A310E" w14:paraId="2D51EE23" w14:textId="77777777" w:rsidTr="00344A07">
        <w:tc>
          <w:tcPr>
            <w:tcW w:w="6763" w:type="dxa"/>
            <w:tcBorders>
              <w:top w:val="single" w:sz="12" w:space="0" w:color="auto"/>
              <w:left w:val="single" w:sz="12" w:space="0" w:color="auto"/>
            </w:tcBorders>
            <w:shd w:val="clear" w:color="auto" w:fill="auto"/>
          </w:tcPr>
          <w:p w14:paraId="2D51EE21" w14:textId="77777777" w:rsidR="002A310E" w:rsidRDefault="00CD7B6F" w:rsidP="00382AE3">
            <w:r>
              <w:t>Partnerschappen met andere organisaties</w:t>
            </w:r>
          </w:p>
        </w:tc>
        <w:tc>
          <w:tcPr>
            <w:tcW w:w="949" w:type="dxa"/>
            <w:tcBorders>
              <w:top w:val="single" w:sz="12" w:space="0" w:color="auto"/>
              <w:right w:val="single" w:sz="12" w:space="0" w:color="auto"/>
            </w:tcBorders>
            <w:shd w:val="clear" w:color="auto" w:fill="auto"/>
          </w:tcPr>
          <w:p w14:paraId="2D51EE22" w14:textId="77777777" w:rsidR="002A310E" w:rsidRDefault="00276E3A" w:rsidP="00276E3A">
            <w:pPr>
              <w:jc w:val="center"/>
            </w:pPr>
            <w:r>
              <w:t>4</w:t>
            </w:r>
          </w:p>
        </w:tc>
      </w:tr>
      <w:tr w:rsidR="002A310E" w14:paraId="2D51EE26" w14:textId="77777777" w:rsidTr="00344A07">
        <w:tc>
          <w:tcPr>
            <w:tcW w:w="6763" w:type="dxa"/>
            <w:tcBorders>
              <w:left w:val="single" w:sz="12" w:space="0" w:color="auto"/>
            </w:tcBorders>
            <w:shd w:val="clear" w:color="auto" w:fill="auto"/>
          </w:tcPr>
          <w:p w14:paraId="2D51EE24" w14:textId="77777777" w:rsidR="002A310E" w:rsidRDefault="00CD7B6F" w:rsidP="00382AE3">
            <w:r>
              <w:t>Visie en rol partnerschappen</w:t>
            </w:r>
          </w:p>
        </w:tc>
        <w:tc>
          <w:tcPr>
            <w:tcW w:w="949" w:type="dxa"/>
            <w:tcBorders>
              <w:right w:val="single" w:sz="12" w:space="0" w:color="auto"/>
            </w:tcBorders>
            <w:shd w:val="clear" w:color="auto" w:fill="auto"/>
          </w:tcPr>
          <w:p w14:paraId="2D51EE25" w14:textId="77777777" w:rsidR="002A310E" w:rsidRDefault="00276E3A" w:rsidP="00276E3A">
            <w:pPr>
              <w:jc w:val="center"/>
            </w:pPr>
            <w:r>
              <w:t>4</w:t>
            </w:r>
          </w:p>
        </w:tc>
      </w:tr>
      <w:tr w:rsidR="002A310E" w14:paraId="2D51EE29" w14:textId="77777777" w:rsidTr="00344A07">
        <w:tc>
          <w:tcPr>
            <w:tcW w:w="6763" w:type="dxa"/>
            <w:tcBorders>
              <w:left w:val="single" w:sz="12" w:space="0" w:color="auto"/>
            </w:tcBorders>
            <w:shd w:val="clear" w:color="auto" w:fill="auto"/>
          </w:tcPr>
          <w:p w14:paraId="2D51EE27" w14:textId="57CE1E8F" w:rsidR="002A310E" w:rsidRDefault="00CD7B6F" w:rsidP="00C447C0">
            <w:r>
              <w:t>Aanslu</w:t>
            </w:r>
            <w:r w:rsidR="00C447C0">
              <w:t xml:space="preserve">iting partnerschappen met andere </w:t>
            </w:r>
            <w:r w:rsidR="00D07E60">
              <w:t xml:space="preserve">multilaterale </w:t>
            </w:r>
            <w:r w:rsidR="00C447C0">
              <w:t>actoren</w:t>
            </w:r>
          </w:p>
        </w:tc>
        <w:tc>
          <w:tcPr>
            <w:tcW w:w="949" w:type="dxa"/>
            <w:tcBorders>
              <w:right w:val="single" w:sz="12" w:space="0" w:color="auto"/>
            </w:tcBorders>
            <w:shd w:val="clear" w:color="auto" w:fill="auto"/>
          </w:tcPr>
          <w:p w14:paraId="2D51EE28" w14:textId="77777777" w:rsidR="002A310E" w:rsidRDefault="00276E3A" w:rsidP="00276E3A">
            <w:pPr>
              <w:jc w:val="center"/>
            </w:pPr>
            <w:r>
              <w:t>3</w:t>
            </w:r>
          </w:p>
        </w:tc>
      </w:tr>
      <w:tr w:rsidR="00422948" w14:paraId="2D51EE2C" w14:textId="77777777" w:rsidTr="00344A07">
        <w:tc>
          <w:tcPr>
            <w:tcW w:w="6763" w:type="dxa"/>
            <w:tcBorders>
              <w:left w:val="single" w:sz="12" w:space="0" w:color="auto"/>
            </w:tcBorders>
            <w:shd w:val="clear" w:color="auto" w:fill="auto"/>
          </w:tcPr>
          <w:p w14:paraId="2D51EE2A" w14:textId="77777777" w:rsidR="00422948" w:rsidRDefault="00072371" w:rsidP="00C447C0">
            <w:r>
              <w:t>Samenwerking en coördinatie overige actoren</w:t>
            </w:r>
          </w:p>
        </w:tc>
        <w:tc>
          <w:tcPr>
            <w:tcW w:w="949" w:type="dxa"/>
            <w:tcBorders>
              <w:right w:val="single" w:sz="12" w:space="0" w:color="auto"/>
            </w:tcBorders>
            <w:shd w:val="clear" w:color="auto" w:fill="auto"/>
          </w:tcPr>
          <w:p w14:paraId="2D51EE2B" w14:textId="77777777" w:rsidR="00422948" w:rsidRDefault="00276E3A" w:rsidP="00276E3A">
            <w:pPr>
              <w:jc w:val="center"/>
            </w:pPr>
            <w:r>
              <w:t>3</w:t>
            </w:r>
          </w:p>
        </w:tc>
      </w:tr>
      <w:tr w:rsidR="002A310E" w:rsidRPr="00EA0AA8" w14:paraId="2D51EE2F" w14:textId="77777777" w:rsidTr="00344A07">
        <w:tc>
          <w:tcPr>
            <w:tcW w:w="6763" w:type="dxa"/>
            <w:tcBorders>
              <w:top w:val="single" w:sz="12" w:space="0" w:color="auto"/>
              <w:left w:val="single" w:sz="12" w:space="0" w:color="auto"/>
              <w:bottom w:val="single" w:sz="12" w:space="0" w:color="auto"/>
            </w:tcBorders>
            <w:shd w:val="clear" w:color="auto" w:fill="D0CECE"/>
          </w:tcPr>
          <w:p w14:paraId="2D51EE2D" w14:textId="77777777" w:rsidR="002A310E" w:rsidRPr="00EA0AA8" w:rsidRDefault="002A310E" w:rsidP="00382AE3">
            <w:pPr>
              <w:rPr>
                <w:b/>
              </w:rPr>
            </w:pPr>
            <w:r w:rsidRPr="00F313B0">
              <w:rPr>
                <w:b/>
              </w:rPr>
              <w:t>TOTAAL</w:t>
            </w:r>
          </w:p>
        </w:tc>
        <w:tc>
          <w:tcPr>
            <w:tcW w:w="949" w:type="dxa"/>
            <w:tcBorders>
              <w:top w:val="single" w:sz="12" w:space="0" w:color="auto"/>
              <w:bottom w:val="single" w:sz="12" w:space="0" w:color="auto"/>
              <w:right w:val="single" w:sz="12" w:space="0" w:color="auto"/>
            </w:tcBorders>
            <w:shd w:val="clear" w:color="auto" w:fill="D0CECE"/>
          </w:tcPr>
          <w:p w14:paraId="2D51EE2E" w14:textId="77777777" w:rsidR="002A310E" w:rsidRPr="00EA0AA8" w:rsidRDefault="00276E3A" w:rsidP="00276E3A">
            <w:pPr>
              <w:jc w:val="center"/>
              <w:rPr>
                <w:b/>
              </w:rPr>
            </w:pPr>
            <w:r>
              <w:rPr>
                <w:b/>
              </w:rPr>
              <w:t>4</w:t>
            </w:r>
          </w:p>
        </w:tc>
      </w:tr>
    </w:tbl>
    <w:p w14:paraId="5FEB6D0D" w14:textId="77777777" w:rsidR="00304D39" w:rsidRDefault="00304D39" w:rsidP="005727B7"/>
    <w:p w14:paraId="0E6D219C" w14:textId="6F92704F" w:rsidR="005727B7" w:rsidRDefault="005727B7" w:rsidP="004D1D28">
      <w:pPr>
        <w:ind w:firstLine="227"/>
      </w:pPr>
      <w:r w:rsidRPr="00193994">
        <w:t>Verandering</w:t>
      </w:r>
      <w:r>
        <w:t xml:space="preserve"> sinds 2015: neutraal</w:t>
      </w:r>
      <w:r w:rsidRPr="00193994">
        <w:t xml:space="preserve"> = </w:t>
      </w:r>
      <w:r w:rsidRPr="00193994">
        <w:sym w:font="Wingdings" w:char="F0E8"/>
      </w:r>
    </w:p>
    <w:p w14:paraId="2D51EE34" w14:textId="77777777" w:rsidR="00C852C7" w:rsidRDefault="00C852C7" w:rsidP="003412ED"/>
    <w:p w14:paraId="2D51EE35" w14:textId="77777777" w:rsidR="00DE343C" w:rsidRPr="004D372F" w:rsidRDefault="00344A07" w:rsidP="004D372F">
      <w:pPr>
        <w:pStyle w:val="Heading2"/>
        <w:tabs>
          <w:tab w:val="left" w:pos="-1162"/>
          <w:tab w:val="left" w:pos="0"/>
          <w:tab w:val="num" w:pos="1160"/>
        </w:tabs>
        <w:spacing w:line="240" w:lineRule="auto"/>
        <w:ind w:hanging="1162"/>
      </w:pPr>
      <w:bookmarkStart w:id="32" w:name="_Toc410140903"/>
      <w:bookmarkStart w:id="33" w:name="_Toc491260354"/>
      <w:r>
        <w:t>4</w:t>
      </w:r>
      <w:r w:rsidR="004D372F" w:rsidRPr="004D372F">
        <w:t>.</w:t>
      </w:r>
      <w:r w:rsidR="00A74DEC">
        <w:t>4</w:t>
      </w:r>
      <w:r w:rsidR="004D372F" w:rsidRPr="004D372F">
        <w:t xml:space="preserve"> </w:t>
      </w:r>
      <w:r w:rsidR="0031751C">
        <w:tab/>
      </w:r>
      <w:r w:rsidR="00CD7B6F">
        <w:t>Operationeel management</w:t>
      </w:r>
      <w:bookmarkEnd w:id="32"/>
      <w:bookmarkEnd w:id="33"/>
    </w:p>
    <w:p w14:paraId="2D51EE37" w14:textId="49B03C64" w:rsidR="005910E6" w:rsidRPr="0008402A" w:rsidRDefault="0031397D" w:rsidP="005910E6">
      <w:r>
        <w:t>Er zijn geen signalen dat de organisatie o</w:t>
      </w:r>
      <w:r w:rsidR="007643E1">
        <w:t>n</w:t>
      </w:r>
      <w:r>
        <w:t>voldoende functioneert</w:t>
      </w:r>
      <w:r w:rsidR="00812B7B">
        <w:t>, het tegenovergestelde is het geval</w:t>
      </w:r>
      <w:r>
        <w:t xml:space="preserve">. </w:t>
      </w:r>
      <w:r w:rsidR="007643E1">
        <w:t xml:space="preserve">WFP heeft organisatorisch 3 lagen: hoofdkantoor, regionale en landenkantoren. </w:t>
      </w:r>
      <w:r w:rsidR="00812B7B">
        <w:t>O</w:t>
      </w:r>
      <w:r w:rsidR="005910E6" w:rsidRPr="0008402A">
        <w:t xml:space="preserve">perationeel zijn de landenkantoren </w:t>
      </w:r>
      <w:r w:rsidR="00812B7B">
        <w:t xml:space="preserve">in grote mate </w:t>
      </w:r>
      <w:r w:rsidR="005910E6" w:rsidRPr="0008402A">
        <w:t>zelfstandig</w:t>
      </w:r>
      <w:r w:rsidR="00812B7B">
        <w:t>, waarbij ze t</w:t>
      </w:r>
      <w:r w:rsidR="005910E6" w:rsidRPr="0008402A">
        <w:t xml:space="preserve">echnische bijstand </w:t>
      </w:r>
      <w:r w:rsidR="00812B7B">
        <w:t xml:space="preserve">krijgen vanuit de regionale kantoren. De meeste activiteiten zijn </w:t>
      </w:r>
      <w:proofErr w:type="spellStart"/>
      <w:r w:rsidR="00225674">
        <w:t>landspecifiek</w:t>
      </w:r>
      <w:proofErr w:type="spellEnd"/>
      <w:r w:rsidR="00812B7B">
        <w:t xml:space="preserve">, maar ook grotere </w:t>
      </w:r>
      <w:r w:rsidR="005910E6" w:rsidRPr="0008402A">
        <w:t xml:space="preserve">regionale </w:t>
      </w:r>
      <w:r w:rsidR="00812B7B">
        <w:t xml:space="preserve">programma’s komen voor. </w:t>
      </w:r>
      <w:r w:rsidR="00C852C7">
        <w:t>D</w:t>
      </w:r>
      <w:r w:rsidR="00812B7B">
        <w:t>e activit</w:t>
      </w:r>
      <w:r w:rsidR="005910E6" w:rsidRPr="006D7FD9">
        <w:t xml:space="preserve">eiten </w:t>
      </w:r>
      <w:r w:rsidR="00C852C7">
        <w:t xml:space="preserve">worden </w:t>
      </w:r>
      <w:r w:rsidR="005910E6" w:rsidRPr="006D7FD9">
        <w:t>in nauw overleg met de nationale overheid</w:t>
      </w:r>
      <w:r w:rsidR="000D0473">
        <w:t xml:space="preserve"> </w:t>
      </w:r>
      <w:r w:rsidR="005910E6" w:rsidRPr="006D7FD9">
        <w:t xml:space="preserve">afgestemd. WFP werkt veel samen met </w:t>
      </w:r>
      <w:proofErr w:type="spellStart"/>
      <w:r w:rsidR="005910E6" w:rsidRPr="006D7FD9">
        <w:t>NGO’s</w:t>
      </w:r>
      <w:proofErr w:type="spellEnd"/>
      <w:r w:rsidR="005910E6" w:rsidRPr="006D7FD9">
        <w:t>, die als uitvoerende organisati</w:t>
      </w:r>
      <w:r w:rsidR="005910E6">
        <w:t xml:space="preserve">e de voedselhulp distribueren. </w:t>
      </w:r>
      <w:r w:rsidR="005910E6" w:rsidRPr="0008402A">
        <w:t xml:space="preserve">De MOPAN-evaluatie </w:t>
      </w:r>
      <w:r w:rsidR="00812B7B">
        <w:t xml:space="preserve">van 2013 </w:t>
      </w:r>
      <w:r w:rsidR="005910E6" w:rsidRPr="0008402A">
        <w:t xml:space="preserve">constateert dat de capaciteit van WFP om op korte termijn voedsel te leveren aan mensen in humanitaire noodsituaties een van de sterkste punten </w:t>
      </w:r>
      <w:r w:rsidR="005910E6">
        <w:t>is</w:t>
      </w:r>
      <w:r w:rsidR="005910E6" w:rsidRPr="0008402A">
        <w:t xml:space="preserve"> van de organisatie. Het </w:t>
      </w:r>
      <w:r w:rsidR="00812B7B">
        <w:t xml:space="preserve">uitdragen van </w:t>
      </w:r>
      <w:r w:rsidR="005910E6" w:rsidRPr="0008402A">
        <w:t>deze resultaten</w:t>
      </w:r>
      <w:r w:rsidR="00812B7B">
        <w:t xml:space="preserve"> wordt soms </w:t>
      </w:r>
      <w:r w:rsidR="005910E6" w:rsidRPr="0008402A">
        <w:t>beper</w:t>
      </w:r>
      <w:r w:rsidR="00812B7B">
        <w:t>kt door een gebrek aan beschikb</w:t>
      </w:r>
      <w:r w:rsidR="005910E6" w:rsidRPr="0008402A">
        <w:t>ar</w:t>
      </w:r>
      <w:r w:rsidR="00812B7B">
        <w:t>e data.</w:t>
      </w:r>
      <w:r w:rsidR="005910E6" w:rsidRPr="0008402A">
        <w:t xml:space="preserve"> </w:t>
      </w:r>
      <w:r w:rsidR="00812B7B">
        <w:t>Op landenkantoor niveau blijft het daarom noodzaak om</w:t>
      </w:r>
      <w:r w:rsidR="005910E6" w:rsidRPr="0008402A">
        <w:t xml:space="preserve"> de capaciteit </w:t>
      </w:r>
      <w:r w:rsidR="00812B7B">
        <w:t xml:space="preserve">op peil te houden en </w:t>
      </w:r>
      <w:r w:rsidR="005910E6" w:rsidRPr="0008402A">
        <w:t xml:space="preserve">te verbeteren </w:t>
      </w:r>
      <w:r w:rsidR="00812B7B">
        <w:t xml:space="preserve">en zo beter </w:t>
      </w:r>
      <w:r w:rsidR="005910E6" w:rsidRPr="0008402A">
        <w:t xml:space="preserve">te </w:t>
      </w:r>
      <w:r w:rsidR="00812B7B">
        <w:t xml:space="preserve">kunnen </w:t>
      </w:r>
      <w:r w:rsidR="005910E6" w:rsidRPr="0008402A">
        <w:t>rapporteren over de resultaten in het veld.</w:t>
      </w:r>
    </w:p>
    <w:p w14:paraId="2D51EE38" w14:textId="77777777" w:rsidR="005910E6" w:rsidRPr="0008402A" w:rsidRDefault="005910E6" w:rsidP="005910E6">
      <w:pPr>
        <w:rPr>
          <w:color w:val="2F5496" w:themeColor="accent5" w:themeShade="BF"/>
        </w:rPr>
      </w:pPr>
    </w:p>
    <w:p w14:paraId="2D51EE39" w14:textId="722B76B1" w:rsidR="005910E6" w:rsidRPr="006D7FD9" w:rsidRDefault="00084F23" w:rsidP="005910E6">
      <w:r>
        <w:t xml:space="preserve">De landenkantoren zijn de ruggengraat van de WFP operaties en halen goede </w:t>
      </w:r>
      <w:r w:rsidR="005910E6" w:rsidRPr="006D7FD9">
        <w:t xml:space="preserve">resultaten </w:t>
      </w:r>
      <w:r>
        <w:t xml:space="preserve">ondanks de vaak </w:t>
      </w:r>
      <w:r w:rsidR="005910E6" w:rsidRPr="006D7FD9">
        <w:t xml:space="preserve">uitzonderlijk complexe </w:t>
      </w:r>
      <w:r>
        <w:t xml:space="preserve">lokale </w:t>
      </w:r>
      <w:r w:rsidR="005910E6" w:rsidRPr="006D7FD9">
        <w:t>situaties</w:t>
      </w:r>
      <w:r>
        <w:t xml:space="preserve">. </w:t>
      </w:r>
      <w:r w:rsidR="005910E6">
        <w:t xml:space="preserve">Tegelijk </w:t>
      </w:r>
      <w:r>
        <w:t>worstelen de</w:t>
      </w:r>
      <w:r w:rsidR="005910E6" w:rsidRPr="006D7FD9">
        <w:t xml:space="preserve"> landenkantoren doorgaans </w:t>
      </w:r>
      <w:r>
        <w:t xml:space="preserve">met </w:t>
      </w:r>
      <w:r w:rsidR="005910E6" w:rsidRPr="006D7FD9">
        <w:t xml:space="preserve">beperkte middelen en </w:t>
      </w:r>
      <w:r>
        <w:t xml:space="preserve">moeten </w:t>
      </w:r>
      <w:r w:rsidR="00C852C7">
        <w:t xml:space="preserve">ze </w:t>
      </w:r>
      <w:r>
        <w:t xml:space="preserve">keuzen maken tussen de middelen te gebruiken voor </w:t>
      </w:r>
      <w:r w:rsidR="005910E6" w:rsidRPr="006D7FD9">
        <w:t>betere monitoring en evaluatie, of voor het redden van zoveel mogelijk levens.</w:t>
      </w:r>
    </w:p>
    <w:p w14:paraId="2D51EE3A" w14:textId="77777777" w:rsidR="005910E6" w:rsidRDefault="005910E6" w:rsidP="005910E6">
      <w:pPr>
        <w:rPr>
          <w:color w:val="8496B0" w:themeColor="text2" w:themeTint="99"/>
        </w:rPr>
      </w:pPr>
    </w:p>
    <w:p w14:paraId="2D51EE3B" w14:textId="524E7567" w:rsidR="005910E6" w:rsidRDefault="00084F23" w:rsidP="005910E6">
      <w:r>
        <w:t>Langs dezelfde lijn en a</w:t>
      </w:r>
      <w:r w:rsidR="005910E6" w:rsidRPr="00B53EDD">
        <w:t xml:space="preserve">ls onderdeel van de </w:t>
      </w:r>
      <w:r w:rsidR="005910E6" w:rsidRPr="00B53EDD">
        <w:rPr>
          <w:i/>
        </w:rPr>
        <w:t xml:space="preserve">zero </w:t>
      </w:r>
      <w:proofErr w:type="spellStart"/>
      <w:r w:rsidR="005910E6" w:rsidRPr="00B53EDD">
        <w:rPr>
          <w:i/>
        </w:rPr>
        <w:t>nominal</w:t>
      </w:r>
      <w:proofErr w:type="spellEnd"/>
      <w:r w:rsidR="005910E6" w:rsidRPr="00B53EDD">
        <w:rPr>
          <w:i/>
        </w:rPr>
        <w:t xml:space="preserve"> </w:t>
      </w:r>
      <w:proofErr w:type="spellStart"/>
      <w:r w:rsidR="005910E6" w:rsidRPr="00B53EDD">
        <w:rPr>
          <w:i/>
        </w:rPr>
        <w:t>growth</w:t>
      </w:r>
      <w:proofErr w:type="spellEnd"/>
      <w:r>
        <w:t xml:space="preserve"> ambitie worden de uitgave</w:t>
      </w:r>
      <w:r w:rsidR="00C852C7">
        <w:t>n</w:t>
      </w:r>
      <w:r>
        <w:t xml:space="preserve"> </w:t>
      </w:r>
      <w:r w:rsidR="005910E6">
        <w:t xml:space="preserve">op het hoofdkantoor </w:t>
      </w:r>
      <w:r w:rsidR="005910E6" w:rsidRPr="00B53EDD">
        <w:t xml:space="preserve">zeer zorgvuldig afgewogen </w:t>
      </w:r>
      <w:r w:rsidR="005910E6">
        <w:t xml:space="preserve">op basis </w:t>
      </w:r>
      <w:r>
        <w:t>van hun</w:t>
      </w:r>
      <w:r w:rsidR="000D0473">
        <w:t xml:space="preserve"> </w:t>
      </w:r>
      <w:r w:rsidR="005910E6" w:rsidRPr="00B53EDD">
        <w:t xml:space="preserve">bijdrage aan de resultaten van de organisatie. </w:t>
      </w:r>
      <w:r>
        <w:t>Het is een voortdurende balanceer act vanwege de continue voortgang en innovatie van de organisatie en de druk die dat legt op de ondersteunende systemen (ICT, Projectbeheer</w:t>
      </w:r>
      <w:r w:rsidR="003365E0">
        <w:t xml:space="preserve"> en financiële systemen) en de lidstaten die WFP veelvuldig bevragen om het hoofdkantoor niet ‘uit z’n voegen’ te laten groeien.</w:t>
      </w:r>
      <w:r w:rsidR="003365E0" w:rsidRPr="003365E0">
        <w:t xml:space="preserve"> </w:t>
      </w:r>
      <w:r w:rsidR="003365E0" w:rsidRPr="00B53EDD">
        <w:t xml:space="preserve">Voor </w:t>
      </w:r>
      <w:r w:rsidR="003365E0">
        <w:t xml:space="preserve">alle </w:t>
      </w:r>
      <w:r w:rsidR="00225674">
        <w:t>p</w:t>
      </w:r>
      <w:r w:rsidR="00225674" w:rsidRPr="00B53EDD">
        <w:t>rogramm</w:t>
      </w:r>
      <w:r w:rsidR="00225674">
        <w:t>a</w:t>
      </w:r>
      <w:r w:rsidR="00225674" w:rsidRPr="00B53EDD">
        <w:t>’s</w:t>
      </w:r>
      <w:r w:rsidR="003365E0" w:rsidRPr="00B53EDD">
        <w:t xml:space="preserve"> </w:t>
      </w:r>
      <w:r w:rsidR="003365E0">
        <w:t xml:space="preserve">en activiteiten </w:t>
      </w:r>
      <w:r w:rsidR="003365E0" w:rsidRPr="00B53EDD">
        <w:t>geldt dat de noodzaak ervan alle niveaus (landelijk in afstemming met partners, regionaal en op hoofdkantoor) word</w:t>
      </w:r>
      <w:r w:rsidR="003365E0">
        <w:t>t</w:t>
      </w:r>
      <w:r w:rsidR="003365E0" w:rsidRPr="00B53EDD">
        <w:t xml:space="preserve"> beoordeeld. In elke fase dienen ook mogelijke bezuinigin</w:t>
      </w:r>
      <w:r w:rsidR="003365E0">
        <w:t xml:space="preserve">gen te worden geïdentificeerd. </w:t>
      </w:r>
      <w:r w:rsidR="005910E6">
        <w:t xml:space="preserve">De Britse </w:t>
      </w:r>
      <w:proofErr w:type="spellStart"/>
      <w:r w:rsidR="005910E6" w:rsidRPr="00D42B4B">
        <w:rPr>
          <w:i/>
        </w:rPr>
        <w:t>Multilateral</w:t>
      </w:r>
      <w:proofErr w:type="spellEnd"/>
      <w:r w:rsidR="005910E6" w:rsidRPr="00D42B4B">
        <w:rPr>
          <w:i/>
        </w:rPr>
        <w:t xml:space="preserve"> </w:t>
      </w:r>
      <w:proofErr w:type="spellStart"/>
      <w:r w:rsidR="005910E6" w:rsidRPr="00D42B4B">
        <w:rPr>
          <w:i/>
        </w:rPr>
        <w:t>Aid</w:t>
      </w:r>
      <w:proofErr w:type="spellEnd"/>
      <w:r w:rsidR="005910E6" w:rsidRPr="00D42B4B">
        <w:rPr>
          <w:i/>
        </w:rPr>
        <w:t xml:space="preserve"> Review</w:t>
      </w:r>
      <w:r w:rsidR="005910E6">
        <w:t xml:space="preserve"> classificeerde WFP</w:t>
      </w:r>
      <w:r w:rsidR="003365E0">
        <w:t>, zowel in 2013 als in 2016,</w:t>
      </w:r>
      <w:r w:rsidR="005910E6">
        <w:t xml:space="preserve"> als ‘</w:t>
      </w:r>
      <w:proofErr w:type="spellStart"/>
      <w:r w:rsidR="005910E6" w:rsidRPr="00B24371">
        <w:rPr>
          <w:i/>
        </w:rPr>
        <w:t>good</w:t>
      </w:r>
      <w:proofErr w:type="spellEnd"/>
      <w:r w:rsidR="005910E6" w:rsidRPr="00B24371">
        <w:rPr>
          <w:i/>
        </w:rPr>
        <w:t xml:space="preserve"> </w:t>
      </w:r>
      <w:proofErr w:type="spellStart"/>
      <w:r w:rsidR="005910E6" w:rsidRPr="00B24371">
        <w:rPr>
          <w:i/>
        </w:rPr>
        <w:t>value</w:t>
      </w:r>
      <w:proofErr w:type="spellEnd"/>
      <w:r w:rsidR="005910E6" w:rsidRPr="00B24371">
        <w:rPr>
          <w:i/>
        </w:rPr>
        <w:t xml:space="preserve"> </w:t>
      </w:r>
      <w:proofErr w:type="spellStart"/>
      <w:r w:rsidR="005910E6" w:rsidRPr="00B24371">
        <w:rPr>
          <w:i/>
        </w:rPr>
        <w:t>for</w:t>
      </w:r>
      <w:proofErr w:type="spellEnd"/>
      <w:r w:rsidR="005910E6" w:rsidRPr="00B24371">
        <w:rPr>
          <w:i/>
        </w:rPr>
        <w:t xml:space="preserve"> money’</w:t>
      </w:r>
      <w:r w:rsidR="003365E0">
        <w:t>, met</w:t>
      </w:r>
      <w:r w:rsidR="00225674">
        <w:t xml:space="preserve"> een hoge gemiddelde score.</w:t>
      </w:r>
    </w:p>
    <w:p w14:paraId="13DA2969" w14:textId="77777777" w:rsidR="00225674" w:rsidRDefault="00225674" w:rsidP="005910E6"/>
    <w:p w14:paraId="2D51EE3C" w14:textId="77777777" w:rsidR="00B80F68" w:rsidRDefault="00B80F68" w:rsidP="005910E6"/>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63"/>
        <w:gridCol w:w="949"/>
      </w:tblGrid>
      <w:tr w:rsidR="002A310E" w:rsidRPr="00EA0AA8" w14:paraId="2D51EE41" w14:textId="77777777" w:rsidTr="00344A07">
        <w:tc>
          <w:tcPr>
            <w:tcW w:w="6763" w:type="dxa"/>
            <w:tcBorders>
              <w:top w:val="single" w:sz="12" w:space="0" w:color="auto"/>
              <w:left w:val="single" w:sz="12" w:space="0" w:color="auto"/>
              <w:bottom w:val="single" w:sz="12" w:space="0" w:color="auto"/>
            </w:tcBorders>
            <w:shd w:val="clear" w:color="auto" w:fill="D0CECE"/>
          </w:tcPr>
          <w:p w14:paraId="2D51EE3F" w14:textId="77777777" w:rsidR="002A310E" w:rsidRPr="00EA0AA8" w:rsidRDefault="002A310E" w:rsidP="00382AE3">
            <w:pPr>
              <w:rPr>
                <w:b/>
              </w:rPr>
            </w:pPr>
            <w:r w:rsidRPr="00EA0AA8">
              <w:rPr>
                <w:b/>
              </w:rPr>
              <w:lastRenderedPageBreak/>
              <w:t>Onderdeel</w:t>
            </w:r>
          </w:p>
        </w:tc>
        <w:tc>
          <w:tcPr>
            <w:tcW w:w="949" w:type="dxa"/>
            <w:tcBorders>
              <w:top w:val="single" w:sz="12" w:space="0" w:color="auto"/>
              <w:bottom w:val="single" w:sz="12" w:space="0" w:color="auto"/>
              <w:right w:val="single" w:sz="12" w:space="0" w:color="auto"/>
            </w:tcBorders>
            <w:shd w:val="clear" w:color="auto" w:fill="D0CECE"/>
          </w:tcPr>
          <w:p w14:paraId="2D51EE40" w14:textId="77777777" w:rsidR="002A310E" w:rsidRPr="00EA0AA8" w:rsidRDefault="002A310E" w:rsidP="00382AE3">
            <w:pPr>
              <w:rPr>
                <w:b/>
              </w:rPr>
            </w:pPr>
            <w:r w:rsidRPr="00EA0AA8">
              <w:rPr>
                <w:b/>
              </w:rPr>
              <w:t>Score</w:t>
            </w:r>
          </w:p>
        </w:tc>
      </w:tr>
      <w:tr w:rsidR="002A310E" w14:paraId="2D51EE44" w14:textId="77777777" w:rsidTr="00344A07">
        <w:tc>
          <w:tcPr>
            <w:tcW w:w="6763" w:type="dxa"/>
            <w:tcBorders>
              <w:top w:val="single" w:sz="12" w:space="0" w:color="auto"/>
              <w:left w:val="single" w:sz="12" w:space="0" w:color="auto"/>
            </w:tcBorders>
            <w:shd w:val="clear" w:color="auto" w:fill="auto"/>
          </w:tcPr>
          <w:p w14:paraId="2D51EE42" w14:textId="77777777" w:rsidR="002A310E" w:rsidRDefault="008A646F" w:rsidP="00382AE3">
            <w:r>
              <w:t>Delegatie van bevoegdheden</w:t>
            </w:r>
          </w:p>
        </w:tc>
        <w:tc>
          <w:tcPr>
            <w:tcW w:w="949" w:type="dxa"/>
            <w:tcBorders>
              <w:top w:val="single" w:sz="12" w:space="0" w:color="auto"/>
              <w:right w:val="single" w:sz="12" w:space="0" w:color="auto"/>
            </w:tcBorders>
            <w:shd w:val="clear" w:color="auto" w:fill="auto"/>
          </w:tcPr>
          <w:p w14:paraId="2D51EE43" w14:textId="77777777" w:rsidR="002A310E" w:rsidRDefault="003365E0" w:rsidP="003365E0">
            <w:pPr>
              <w:jc w:val="center"/>
            </w:pPr>
            <w:r>
              <w:t>3</w:t>
            </w:r>
          </w:p>
        </w:tc>
      </w:tr>
      <w:tr w:rsidR="002A310E" w14:paraId="2D51EE47" w14:textId="77777777" w:rsidTr="00344A07">
        <w:tc>
          <w:tcPr>
            <w:tcW w:w="6763" w:type="dxa"/>
            <w:tcBorders>
              <w:left w:val="single" w:sz="12" w:space="0" w:color="auto"/>
            </w:tcBorders>
            <w:shd w:val="clear" w:color="auto" w:fill="auto"/>
          </w:tcPr>
          <w:p w14:paraId="2D51EE45" w14:textId="77777777" w:rsidR="002A310E" w:rsidRDefault="008A646F" w:rsidP="00382AE3">
            <w:r>
              <w:t>Projectbeheer en financieel beheer</w:t>
            </w:r>
          </w:p>
        </w:tc>
        <w:tc>
          <w:tcPr>
            <w:tcW w:w="949" w:type="dxa"/>
            <w:tcBorders>
              <w:right w:val="single" w:sz="12" w:space="0" w:color="auto"/>
            </w:tcBorders>
            <w:shd w:val="clear" w:color="auto" w:fill="auto"/>
          </w:tcPr>
          <w:p w14:paraId="2D51EE46" w14:textId="77777777" w:rsidR="002A310E" w:rsidRDefault="003365E0" w:rsidP="003365E0">
            <w:pPr>
              <w:jc w:val="center"/>
            </w:pPr>
            <w:r>
              <w:t>4</w:t>
            </w:r>
          </w:p>
        </w:tc>
      </w:tr>
      <w:tr w:rsidR="002A310E" w14:paraId="2D51EE4A" w14:textId="77777777" w:rsidTr="00344A07">
        <w:tc>
          <w:tcPr>
            <w:tcW w:w="6763" w:type="dxa"/>
            <w:tcBorders>
              <w:left w:val="single" w:sz="12" w:space="0" w:color="auto"/>
            </w:tcBorders>
            <w:shd w:val="clear" w:color="auto" w:fill="auto"/>
          </w:tcPr>
          <w:p w14:paraId="2D51EE48" w14:textId="77777777" w:rsidR="002A310E" w:rsidRDefault="008A646F" w:rsidP="00382AE3">
            <w:r>
              <w:t>Verantwoordelijkheden en bevoegdheden decentrale kantoren</w:t>
            </w:r>
          </w:p>
        </w:tc>
        <w:tc>
          <w:tcPr>
            <w:tcW w:w="949" w:type="dxa"/>
            <w:tcBorders>
              <w:right w:val="single" w:sz="12" w:space="0" w:color="auto"/>
            </w:tcBorders>
            <w:shd w:val="clear" w:color="auto" w:fill="auto"/>
          </w:tcPr>
          <w:p w14:paraId="2D51EE49" w14:textId="77777777" w:rsidR="002A310E" w:rsidRDefault="003365E0" w:rsidP="003365E0">
            <w:pPr>
              <w:jc w:val="center"/>
            </w:pPr>
            <w:r>
              <w:t>3</w:t>
            </w:r>
          </w:p>
        </w:tc>
      </w:tr>
      <w:tr w:rsidR="002A310E" w14:paraId="2D51EE4D" w14:textId="77777777" w:rsidTr="00344A07">
        <w:tc>
          <w:tcPr>
            <w:tcW w:w="6763" w:type="dxa"/>
            <w:tcBorders>
              <w:left w:val="single" w:sz="12" w:space="0" w:color="auto"/>
              <w:bottom w:val="single" w:sz="12" w:space="0" w:color="auto"/>
            </w:tcBorders>
            <w:shd w:val="clear" w:color="auto" w:fill="auto"/>
          </w:tcPr>
          <w:p w14:paraId="2D51EE4B" w14:textId="77777777" w:rsidR="002A310E" w:rsidRDefault="008A646F" w:rsidP="00382AE3">
            <w:r>
              <w:t>Gebruik van lokale partners en systemen</w:t>
            </w:r>
          </w:p>
        </w:tc>
        <w:tc>
          <w:tcPr>
            <w:tcW w:w="949" w:type="dxa"/>
            <w:tcBorders>
              <w:bottom w:val="single" w:sz="12" w:space="0" w:color="auto"/>
              <w:right w:val="single" w:sz="12" w:space="0" w:color="auto"/>
            </w:tcBorders>
            <w:shd w:val="clear" w:color="auto" w:fill="auto"/>
          </w:tcPr>
          <w:p w14:paraId="2D51EE4C" w14:textId="77777777" w:rsidR="002A310E" w:rsidRDefault="003365E0" w:rsidP="003365E0">
            <w:pPr>
              <w:jc w:val="center"/>
            </w:pPr>
            <w:r>
              <w:t>3</w:t>
            </w:r>
          </w:p>
        </w:tc>
      </w:tr>
      <w:tr w:rsidR="002A310E" w:rsidRPr="00EA0AA8" w14:paraId="2D51EE50" w14:textId="77777777" w:rsidTr="00344A07">
        <w:tc>
          <w:tcPr>
            <w:tcW w:w="6763" w:type="dxa"/>
            <w:tcBorders>
              <w:top w:val="single" w:sz="12" w:space="0" w:color="auto"/>
              <w:left w:val="single" w:sz="12" w:space="0" w:color="auto"/>
              <w:bottom w:val="single" w:sz="12" w:space="0" w:color="auto"/>
            </w:tcBorders>
            <w:shd w:val="clear" w:color="auto" w:fill="D0CECE"/>
          </w:tcPr>
          <w:p w14:paraId="2D51EE4E" w14:textId="77777777" w:rsidR="002A310E" w:rsidRPr="00EA0AA8" w:rsidRDefault="002A310E" w:rsidP="00382AE3">
            <w:pPr>
              <w:rPr>
                <w:b/>
              </w:rPr>
            </w:pPr>
            <w:r w:rsidRPr="00F313B0">
              <w:rPr>
                <w:b/>
              </w:rPr>
              <w:t>TOTAAL</w:t>
            </w:r>
          </w:p>
        </w:tc>
        <w:tc>
          <w:tcPr>
            <w:tcW w:w="949" w:type="dxa"/>
            <w:tcBorders>
              <w:top w:val="single" w:sz="12" w:space="0" w:color="auto"/>
              <w:bottom w:val="single" w:sz="12" w:space="0" w:color="auto"/>
              <w:right w:val="single" w:sz="12" w:space="0" w:color="auto"/>
            </w:tcBorders>
            <w:shd w:val="clear" w:color="auto" w:fill="D0CECE"/>
          </w:tcPr>
          <w:p w14:paraId="2D51EE4F" w14:textId="77777777" w:rsidR="002A310E" w:rsidRPr="00EA0AA8" w:rsidRDefault="003365E0" w:rsidP="003365E0">
            <w:pPr>
              <w:jc w:val="center"/>
              <w:rPr>
                <w:b/>
              </w:rPr>
            </w:pPr>
            <w:r>
              <w:rPr>
                <w:b/>
              </w:rPr>
              <w:t>3</w:t>
            </w:r>
          </w:p>
        </w:tc>
      </w:tr>
    </w:tbl>
    <w:p w14:paraId="2D51EE51" w14:textId="77777777" w:rsidR="00E20A86" w:rsidRDefault="00E20A86" w:rsidP="00E20A86"/>
    <w:p w14:paraId="65E82A07" w14:textId="77777777" w:rsidR="005727B7" w:rsidRDefault="005727B7" w:rsidP="004D1D28">
      <w:pPr>
        <w:ind w:firstLine="227"/>
      </w:pPr>
      <w:r w:rsidRPr="00193994">
        <w:t>Verandering</w:t>
      </w:r>
      <w:r>
        <w:t xml:space="preserve"> sinds 2015: neutraal</w:t>
      </w:r>
      <w:r w:rsidRPr="00193994">
        <w:t xml:space="preserve"> = </w:t>
      </w:r>
      <w:r w:rsidRPr="00193994">
        <w:sym w:font="Wingdings" w:char="F0E8"/>
      </w:r>
    </w:p>
    <w:p w14:paraId="2D51EE53" w14:textId="77777777" w:rsidR="00C852C7" w:rsidRDefault="00C852C7" w:rsidP="00E20A86"/>
    <w:p w14:paraId="2D51EE54" w14:textId="77777777" w:rsidR="003A32D7" w:rsidRDefault="00344A07" w:rsidP="003A32D7">
      <w:pPr>
        <w:pStyle w:val="Heading2"/>
        <w:tabs>
          <w:tab w:val="left" w:pos="-1162"/>
          <w:tab w:val="left" w:pos="0"/>
          <w:tab w:val="num" w:pos="1160"/>
        </w:tabs>
        <w:spacing w:line="240" w:lineRule="auto"/>
        <w:ind w:hanging="1162"/>
        <w:rPr>
          <w:b w:val="0"/>
        </w:rPr>
      </w:pPr>
      <w:bookmarkStart w:id="34" w:name="_Toc491260355"/>
      <w:r>
        <w:t>4</w:t>
      </w:r>
      <w:r w:rsidR="00E276B2">
        <w:t>.</w:t>
      </w:r>
      <w:r w:rsidR="00A74DEC">
        <w:t>5</w:t>
      </w:r>
      <w:r w:rsidR="00E276B2">
        <w:tab/>
      </w:r>
      <w:r w:rsidR="00CC0E78">
        <w:t>B</w:t>
      </w:r>
      <w:r w:rsidR="003A32D7" w:rsidRPr="004D372F">
        <w:t>eleidsevaluatie</w:t>
      </w:r>
      <w:bookmarkEnd w:id="34"/>
    </w:p>
    <w:p w14:paraId="2D51EE56" w14:textId="607345A8" w:rsidR="000A2F4A" w:rsidRDefault="00BB7A2F" w:rsidP="000D0473">
      <w:r w:rsidRPr="000A73D4">
        <w:t xml:space="preserve">Het </w:t>
      </w:r>
      <w:r w:rsidR="005828A9">
        <w:t xml:space="preserve">in 2015 nieuw goedgekeurde </w:t>
      </w:r>
      <w:r w:rsidRPr="000A73D4">
        <w:t>evalu</w:t>
      </w:r>
      <w:r>
        <w:t>a</w:t>
      </w:r>
      <w:r w:rsidRPr="000A73D4">
        <w:t>tiebeleid</w:t>
      </w:r>
      <w:r w:rsidR="00ED5429">
        <w:t xml:space="preserve"> </w:t>
      </w:r>
      <w:r w:rsidRPr="000A73D4">
        <w:t xml:space="preserve">vormt </w:t>
      </w:r>
      <w:r w:rsidR="005828A9">
        <w:t xml:space="preserve">een goede </w:t>
      </w:r>
      <w:r w:rsidRPr="000A73D4">
        <w:t xml:space="preserve">basis voor onafhankelijke en bruikbare evaluaties </w:t>
      </w:r>
      <w:r w:rsidR="005828A9">
        <w:t>in de periode 2016-2021</w:t>
      </w:r>
      <w:r w:rsidRPr="000A73D4">
        <w:t xml:space="preserve">. Het beleid </w:t>
      </w:r>
      <w:r w:rsidR="005828A9">
        <w:t xml:space="preserve">is opgesteld met input van </w:t>
      </w:r>
      <w:r w:rsidRPr="000A73D4">
        <w:t xml:space="preserve">een </w:t>
      </w:r>
      <w:r w:rsidRPr="00FF200A">
        <w:t>peer review</w:t>
      </w:r>
      <w:r w:rsidRPr="000A73D4">
        <w:t xml:space="preserve"> van de </w:t>
      </w:r>
      <w:r w:rsidRPr="00FF200A">
        <w:rPr>
          <w:i/>
        </w:rPr>
        <w:t>United Nations Evaluation Group</w:t>
      </w:r>
      <w:r w:rsidRPr="000A73D4">
        <w:t xml:space="preserve"> en het </w:t>
      </w:r>
      <w:r w:rsidRPr="00FF200A">
        <w:rPr>
          <w:i/>
        </w:rPr>
        <w:t xml:space="preserve">Development Assistance </w:t>
      </w:r>
      <w:proofErr w:type="spellStart"/>
      <w:r w:rsidRPr="00FF200A">
        <w:rPr>
          <w:i/>
        </w:rPr>
        <w:t>Committee</w:t>
      </w:r>
      <w:proofErr w:type="spellEnd"/>
      <w:r w:rsidR="00ED5429" w:rsidRPr="000A73D4">
        <w:t>.</w:t>
      </w:r>
      <w:r w:rsidR="00ED5429" w:rsidRPr="00FF200A">
        <w:rPr>
          <w:sz w:val="16"/>
          <w:szCs w:val="16"/>
          <w:vertAlign w:val="superscript"/>
        </w:rPr>
        <w:t xml:space="preserve"> </w:t>
      </w:r>
      <w:r w:rsidR="00FF200A">
        <w:t xml:space="preserve">De conclusie van deze review was dat WFP een ‘gunstig klimaat’ heeft voor evaluatie en </w:t>
      </w:r>
      <w:r w:rsidR="00BC5562">
        <w:t>wat gepaard gaat met veel</w:t>
      </w:r>
      <w:r w:rsidR="00FF200A">
        <w:t xml:space="preserve"> aandacht van het management en de Uitvoerende </w:t>
      </w:r>
      <w:r w:rsidR="00BC5562">
        <w:t>Raad</w:t>
      </w:r>
      <w:r w:rsidR="00FF200A">
        <w:t xml:space="preserve">. </w:t>
      </w:r>
      <w:r w:rsidR="00FF200A" w:rsidRPr="00FF200A">
        <w:t xml:space="preserve">De evaluatiedienst was </w:t>
      </w:r>
      <w:r w:rsidR="00FF200A">
        <w:t xml:space="preserve">in de voorafgaande periode </w:t>
      </w:r>
      <w:r w:rsidR="00FF200A" w:rsidRPr="00FF200A">
        <w:t xml:space="preserve">versterkt in termen van beschikbaar budget, personeel en de kwaliteit van haar producten. </w:t>
      </w:r>
      <w:r w:rsidRPr="0015027E">
        <w:t xml:space="preserve">De dienst is onafhankelijk en rapporteert rechtstreeks aan de </w:t>
      </w:r>
      <w:r w:rsidRPr="00E25372">
        <w:t>Uitvoerend</w:t>
      </w:r>
      <w:r w:rsidRPr="0015027E">
        <w:t xml:space="preserve"> Directeur. </w:t>
      </w:r>
      <w:r>
        <w:t xml:space="preserve">In een review van de </w:t>
      </w:r>
      <w:r w:rsidR="009164C9" w:rsidRPr="00BC5562">
        <w:rPr>
          <w:i/>
        </w:rPr>
        <w:t xml:space="preserve">Joint </w:t>
      </w:r>
      <w:proofErr w:type="spellStart"/>
      <w:r w:rsidR="009164C9" w:rsidRPr="00BC5562">
        <w:rPr>
          <w:i/>
        </w:rPr>
        <w:t>Inspection</w:t>
      </w:r>
      <w:proofErr w:type="spellEnd"/>
      <w:r w:rsidR="009164C9" w:rsidRPr="00BC5562">
        <w:rPr>
          <w:i/>
        </w:rPr>
        <w:t xml:space="preserve"> Unit</w:t>
      </w:r>
      <w:r>
        <w:t xml:space="preserve"> (JIU) wordt de evaluatiedienst als bovengemiddeld gecategoriseerd t.o.v. de andere VN-organisaties.</w:t>
      </w:r>
      <w:r w:rsidR="00ED5429">
        <w:t xml:space="preserve"> </w:t>
      </w:r>
      <w:r w:rsidR="00B8104E">
        <w:t>Voor een succesvolle uitrol van het nieuwe evaluatiebeleid is het wel van belang dat de organisatie voldoende budget blijft vri</w:t>
      </w:r>
      <w:r w:rsidR="000144B0">
        <w:t>jmaken voor de evaluatiedienst.</w:t>
      </w:r>
    </w:p>
    <w:p w14:paraId="2D51EE57" w14:textId="77777777" w:rsidR="000A2F4A" w:rsidRDefault="000A2F4A" w:rsidP="00BB7A2F"/>
    <w:p w14:paraId="2D51EE58" w14:textId="27129950" w:rsidR="00BB7A2F" w:rsidRDefault="00BB7A2F" w:rsidP="00BB7A2F">
      <w:r w:rsidRPr="0015027E">
        <w:t>De dienst voert op basis van een jaarlijks werkprogramma diverse evaluaties uit over strategisch beleid, landenportefeuilles en projecten. Dit werkplan wordt door de U</w:t>
      </w:r>
      <w:r w:rsidR="00B80F68">
        <w:t>R</w:t>
      </w:r>
      <w:r w:rsidRPr="0015027E">
        <w:t xml:space="preserve"> aangenomen. De rapporten van de evaluatiedienst – en de managementreacties daarop – worden altijd </w:t>
      </w:r>
      <w:r w:rsidR="000A2F4A">
        <w:t xml:space="preserve">uitvoerig in de Raad besproken. </w:t>
      </w:r>
      <w:r w:rsidRPr="0015027E">
        <w:t>De evaluatiedienst draagt hiermee bij aan een levendige discussie over de effectiviteit van de activiteiten van WFP. Aanbevelingen uit de evaluaties worden goed gemonitord door de UR en opgevolgd door het management. Eenmaal per jaar wordt een geconsolideerd rapport samengesteld dat inzicht geeft in sterke en zwakke punten. De evaluaties van de dienst zijn kritisch en van hoge kwaliteit.</w:t>
      </w:r>
      <w:r w:rsidRPr="002F4E28">
        <w:t xml:space="preserve"> WFP </w:t>
      </w:r>
      <w:r>
        <w:t>heeft bovendien de ambitie om de evaluatie-activiteiten verder te decentraliseren</w:t>
      </w:r>
      <w:r w:rsidRPr="002F4E28">
        <w:t xml:space="preserve"> </w:t>
      </w:r>
      <w:r>
        <w:t xml:space="preserve">en meer in te zetten op </w:t>
      </w:r>
      <w:r w:rsidRPr="002F4E28">
        <w:rPr>
          <w:i/>
        </w:rPr>
        <w:t xml:space="preserve">joint </w:t>
      </w:r>
      <w:proofErr w:type="spellStart"/>
      <w:r w:rsidRPr="002F4E28">
        <w:rPr>
          <w:i/>
        </w:rPr>
        <w:t>evaluations</w:t>
      </w:r>
      <w:proofErr w:type="spellEnd"/>
      <w:r>
        <w:t xml:space="preserve">. Deze ontwikkelingen </w:t>
      </w:r>
      <w:r w:rsidR="00C852C7">
        <w:t>zullen</w:t>
      </w:r>
      <w:r w:rsidR="000D0473">
        <w:t xml:space="preserve"> </w:t>
      </w:r>
      <w:r>
        <w:t>de kwaliteit zeker ten goede</w:t>
      </w:r>
      <w:r w:rsidR="00C852C7">
        <w:t xml:space="preserve"> komen</w:t>
      </w:r>
      <w:r>
        <w:t>.</w:t>
      </w:r>
    </w:p>
    <w:p w14:paraId="2D51EE59" w14:textId="77777777" w:rsidR="00BB7A2F" w:rsidRDefault="00BB7A2F" w:rsidP="00BB7A2F"/>
    <w:p w14:paraId="2D51EE5A" w14:textId="601391A2" w:rsidR="00BB7A2F" w:rsidRPr="0015027E" w:rsidRDefault="00BB7A2F" w:rsidP="00BB7A2F">
      <w:r>
        <w:t xml:space="preserve">WFP </w:t>
      </w:r>
      <w:r w:rsidR="003E3CFF">
        <w:t xml:space="preserve">is de afgelopen jaren </w:t>
      </w:r>
      <w:r>
        <w:t xml:space="preserve">in staat </w:t>
      </w:r>
      <w:r w:rsidR="003E3CFF">
        <w:t xml:space="preserve">gebleken snel </w:t>
      </w:r>
      <w:r>
        <w:t>een nieuw beleid of programma</w:t>
      </w:r>
      <w:r w:rsidR="00CC0E78">
        <w:t>’</w:t>
      </w:r>
      <w:r w:rsidR="003E3CFF">
        <w:t>s</w:t>
      </w:r>
      <w:r>
        <w:t xml:space="preserve"> op te zetten, maar deze snelheid gaat soms ten koste van een degelijk monitoring- en evaluatieraamwerk, beginnend met baseline data en welke resultaten behaald moeten worden. Hoewel de evaluatiedienst van goede kwaliteit is, kan er zonder een goed opgezet </w:t>
      </w:r>
      <w:r w:rsidR="0066198B">
        <w:t>raamwerk</w:t>
      </w:r>
      <w:r>
        <w:t xml:space="preserve"> niet afdoende geëvalueerd worden</w:t>
      </w:r>
      <w:r w:rsidR="003E3CFF">
        <w:t>. Om de programma’s</w:t>
      </w:r>
      <w:r w:rsidR="003E3CFF" w:rsidRPr="009415A1">
        <w:t xml:space="preserve"> </w:t>
      </w:r>
      <w:r w:rsidR="003E3CFF">
        <w:t xml:space="preserve">beter te linken </w:t>
      </w:r>
      <w:r w:rsidR="003E3CFF" w:rsidRPr="009415A1">
        <w:t xml:space="preserve">aan </w:t>
      </w:r>
      <w:r w:rsidR="003E3CFF">
        <w:t xml:space="preserve">de </w:t>
      </w:r>
      <w:r w:rsidR="003E3CFF" w:rsidRPr="009415A1">
        <w:t>resultaten</w:t>
      </w:r>
      <w:r w:rsidR="003E3CFF">
        <w:t xml:space="preserve"> is hier in </w:t>
      </w:r>
      <w:r w:rsidR="0066198B">
        <w:t xml:space="preserve">resultatenraamwerk onder het </w:t>
      </w:r>
      <w:r w:rsidR="003E3CFF">
        <w:t>nieuwe Management Plan veel aandacht besteed en zullen hier de komende jaren naar verwachting goe</w:t>
      </w:r>
      <w:r w:rsidR="00F041F6">
        <w:t>de</w:t>
      </w:r>
      <w:r w:rsidR="003E3CFF">
        <w:t xml:space="preserve"> stappen worden gezet.</w:t>
      </w:r>
    </w:p>
    <w:p w14:paraId="2D51EE5B" w14:textId="77777777" w:rsidR="003A32D7" w:rsidRDefault="003A32D7" w:rsidP="00326699"/>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63"/>
        <w:gridCol w:w="949"/>
      </w:tblGrid>
      <w:tr w:rsidR="002A310E" w:rsidRPr="00EA0AA8" w14:paraId="2D51EE5E" w14:textId="77777777" w:rsidTr="00344A07">
        <w:tc>
          <w:tcPr>
            <w:tcW w:w="6763" w:type="dxa"/>
            <w:tcBorders>
              <w:top w:val="single" w:sz="12" w:space="0" w:color="auto"/>
              <w:left w:val="single" w:sz="12" w:space="0" w:color="auto"/>
              <w:bottom w:val="single" w:sz="12" w:space="0" w:color="auto"/>
            </w:tcBorders>
            <w:shd w:val="clear" w:color="auto" w:fill="D0CECE"/>
          </w:tcPr>
          <w:p w14:paraId="2D51EE5C" w14:textId="77777777" w:rsidR="002A310E" w:rsidRPr="00EA0AA8" w:rsidRDefault="002A310E" w:rsidP="00382AE3">
            <w:pPr>
              <w:rPr>
                <w:b/>
              </w:rPr>
            </w:pPr>
            <w:r w:rsidRPr="00EA0AA8">
              <w:rPr>
                <w:b/>
              </w:rPr>
              <w:t>Onderdeel</w:t>
            </w:r>
          </w:p>
        </w:tc>
        <w:tc>
          <w:tcPr>
            <w:tcW w:w="949" w:type="dxa"/>
            <w:tcBorders>
              <w:top w:val="single" w:sz="12" w:space="0" w:color="auto"/>
              <w:bottom w:val="single" w:sz="12" w:space="0" w:color="auto"/>
              <w:right w:val="single" w:sz="12" w:space="0" w:color="auto"/>
            </w:tcBorders>
            <w:shd w:val="clear" w:color="auto" w:fill="D0CECE"/>
          </w:tcPr>
          <w:p w14:paraId="2D51EE5D" w14:textId="77777777" w:rsidR="002A310E" w:rsidRPr="00EA0AA8" w:rsidRDefault="002A310E" w:rsidP="00382AE3">
            <w:pPr>
              <w:rPr>
                <w:b/>
              </w:rPr>
            </w:pPr>
            <w:r w:rsidRPr="00EA0AA8">
              <w:rPr>
                <w:b/>
              </w:rPr>
              <w:t>Score</w:t>
            </w:r>
          </w:p>
        </w:tc>
      </w:tr>
      <w:tr w:rsidR="002A310E" w14:paraId="2D51EE61" w14:textId="77777777" w:rsidTr="00344A07">
        <w:tc>
          <w:tcPr>
            <w:tcW w:w="6763" w:type="dxa"/>
            <w:tcBorders>
              <w:top w:val="single" w:sz="12" w:space="0" w:color="auto"/>
              <w:left w:val="single" w:sz="12" w:space="0" w:color="auto"/>
            </w:tcBorders>
            <w:shd w:val="clear" w:color="auto" w:fill="auto"/>
          </w:tcPr>
          <w:p w14:paraId="2D51EE5F" w14:textId="77777777" w:rsidR="002A310E" w:rsidRDefault="008A646F" w:rsidP="00382AE3">
            <w:r>
              <w:t>Helder vastgelegd evaluatiebeleid</w:t>
            </w:r>
          </w:p>
        </w:tc>
        <w:tc>
          <w:tcPr>
            <w:tcW w:w="949" w:type="dxa"/>
            <w:tcBorders>
              <w:top w:val="single" w:sz="12" w:space="0" w:color="auto"/>
              <w:right w:val="single" w:sz="12" w:space="0" w:color="auto"/>
            </w:tcBorders>
            <w:shd w:val="clear" w:color="auto" w:fill="auto"/>
          </w:tcPr>
          <w:p w14:paraId="2D51EE60" w14:textId="77777777" w:rsidR="002A310E" w:rsidRDefault="00DD5469" w:rsidP="00DD5469">
            <w:pPr>
              <w:jc w:val="center"/>
            </w:pPr>
            <w:r>
              <w:t>4</w:t>
            </w:r>
          </w:p>
        </w:tc>
      </w:tr>
      <w:tr w:rsidR="002A310E" w14:paraId="2D51EE64" w14:textId="77777777" w:rsidTr="00344A07">
        <w:tc>
          <w:tcPr>
            <w:tcW w:w="6763" w:type="dxa"/>
            <w:tcBorders>
              <w:left w:val="single" w:sz="12" w:space="0" w:color="auto"/>
            </w:tcBorders>
            <w:shd w:val="clear" w:color="auto" w:fill="auto"/>
          </w:tcPr>
          <w:p w14:paraId="2D51EE62" w14:textId="77777777" w:rsidR="002A310E" w:rsidRDefault="008A646F" w:rsidP="00382AE3">
            <w:r>
              <w:t>Inrichting evaluatiefunctie</w:t>
            </w:r>
          </w:p>
        </w:tc>
        <w:tc>
          <w:tcPr>
            <w:tcW w:w="949" w:type="dxa"/>
            <w:tcBorders>
              <w:right w:val="single" w:sz="12" w:space="0" w:color="auto"/>
            </w:tcBorders>
            <w:shd w:val="clear" w:color="auto" w:fill="auto"/>
          </w:tcPr>
          <w:p w14:paraId="2D51EE63" w14:textId="77777777" w:rsidR="002A310E" w:rsidRDefault="00DD5469" w:rsidP="00DD5469">
            <w:pPr>
              <w:jc w:val="center"/>
            </w:pPr>
            <w:r>
              <w:t>3</w:t>
            </w:r>
          </w:p>
        </w:tc>
      </w:tr>
      <w:tr w:rsidR="002A310E" w14:paraId="2D51EE67" w14:textId="77777777" w:rsidTr="00344A07">
        <w:tc>
          <w:tcPr>
            <w:tcW w:w="6763" w:type="dxa"/>
            <w:tcBorders>
              <w:left w:val="single" w:sz="12" w:space="0" w:color="auto"/>
            </w:tcBorders>
            <w:shd w:val="clear" w:color="auto" w:fill="auto"/>
          </w:tcPr>
          <w:p w14:paraId="2D51EE65" w14:textId="77777777" w:rsidR="002A310E" w:rsidRDefault="008A646F" w:rsidP="00382AE3">
            <w:r>
              <w:t>Onafhankelijkheid eval</w:t>
            </w:r>
            <w:r w:rsidR="00537DB3">
              <w:t>uatie-</w:t>
            </w:r>
            <w:r>
              <w:t>eenheid</w:t>
            </w:r>
          </w:p>
        </w:tc>
        <w:tc>
          <w:tcPr>
            <w:tcW w:w="949" w:type="dxa"/>
            <w:tcBorders>
              <w:right w:val="single" w:sz="12" w:space="0" w:color="auto"/>
            </w:tcBorders>
            <w:shd w:val="clear" w:color="auto" w:fill="auto"/>
          </w:tcPr>
          <w:p w14:paraId="2D51EE66" w14:textId="77777777" w:rsidR="002A310E" w:rsidRDefault="00DD5469" w:rsidP="00DD5469">
            <w:pPr>
              <w:jc w:val="center"/>
            </w:pPr>
            <w:r>
              <w:t>3</w:t>
            </w:r>
          </w:p>
        </w:tc>
      </w:tr>
      <w:tr w:rsidR="00AA4C2B" w14:paraId="2D51EE6A" w14:textId="77777777" w:rsidTr="00344A07">
        <w:tc>
          <w:tcPr>
            <w:tcW w:w="6763" w:type="dxa"/>
            <w:tcBorders>
              <w:left w:val="single" w:sz="12" w:space="0" w:color="auto"/>
            </w:tcBorders>
            <w:shd w:val="clear" w:color="auto" w:fill="auto"/>
          </w:tcPr>
          <w:p w14:paraId="2D51EE68" w14:textId="77777777" w:rsidR="00AA4C2B" w:rsidRDefault="00AA4C2B" w:rsidP="00382AE3">
            <w:r>
              <w:t>Reikwijdte en relevantie evaluaties</w:t>
            </w:r>
          </w:p>
        </w:tc>
        <w:tc>
          <w:tcPr>
            <w:tcW w:w="949" w:type="dxa"/>
            <w:tcBorders>
              <w:right w:val="single" w:sz="12" w:space="0" w:color="auto"/>
            </w:tcBorders>
            <w:shd w:val="clear" w:color="auto" w:fill="auto"/>
          </w:tcPr>
          <w:p w14:paraId="2D51EE69" w14:textId="77777777" w:rsidR="00AA4C2B" w:rsidRDefault="00DD5469" w:rsidP="00DD5469">
            <w:pPr>
              <w:jc w:val="center"/>
            </w:pPr>
            <w:r>
              <w:t>3</w:t>
            </w:r>
          </w:p>
        </w:tc>
      </w:tr>
      <w:tr w:rsidR="002A310E" w14:paraId="2D51EE6D" w14:textId="77777777" w:rsidTr="00344A07">
        <w:tc>
          <w:tcPr>
            <w:tcW w:w="6763" w:type="dxa"/>
            <w:tcBorders>
              <w:left w:val="single" w:sz="12" w:space="0" w:color="auto"/>
              <w:bottom w:val="single" w:sz="12" w:space="0" w:color="auto"/>
            </w:tcBorders>
            <w:shd w:val="clear" w:color="auto" w:fill="auto"/>
          </w:tcPr>
          <w:p w14:paraId="2D51EE6B" w14:textId="77777777" w:rsidR="002A310E" w:rsidRDefault="008A646F" w:rsidP="00382AE3">
            <w:r>
              <w:t>Follow up aanbevelingen evaluaties</w:t>
            </w:r>
          </w:p>
        </w:tc>
        <w:tc>
          <w:tcPr>
            <w:tcW w:w="949" w:type="dxa"/>
            <w:tcBorders>
              <w:bottom w:val="single" w:sz="12" w:space="0" w:color="auto"/>
              <w:right w:val="single" w:sz="12" w:space="0" w:color="auto"/>
            </w:tcBorders>
            <w:shd w:val="clear" w:color="auto" w:fill="auto"/>
          </w:tcPr>
          <w:p w14:paraId="2D51EE6C" w14:textId="77777777" w:rsidR="002A310E" w:rsidRDefault="00DD5469" w:rsidP="00DD5469">
            <w:pPr>
              <w:jc w:val="center"/>
            </w:pPr>
            <w:r>
              <w:t>3</w:t>
            </w:r>
          </w:p>
        </w:tc>
      </w:tr>
      <w:tr w:rsidR="002A310E" w:rsidRPr="00EA0AA8" w14:paraId="2D51EE70" w14:textId="77777777" w:rsidTr="00344A07">
        <w:tc>
          <w:tcPr>
            <w:tcW w:w="6763" w:type="dxa"/>
            <w:tcBorders>
              <w:top w:val="single" w:sz="12" w:space="0" w:color="auto"/>
              <w:left w:val="single" w:sz="12" w:space="0" w:color="auto"/>
              <w:bottom w:val="single" w:sz="12" w:space="0" w:color="auto"/>
            </w:tcBorders>
            <w:shd w:val="clear" w:color="auto" w:fill="D0CECE"/>
          </w:tcPr>
          <w:p w14:paraId="2D51EE6E" w14:textId="77777777" w:rsidR="002A310E" w:rsidRPr="00EA0AA8" w:rsidRDefault="002A310E" w:rsidP="00382AE3">
            <w:pPr>
              <w:rPr>
                <w:b/>
              </w:rPr>
            </w:pPr>
            <w:r w:rsidRPr="00F313B0">
              <w:rPr>
                <w:b/>
              </w:rPr>
              <w:t>TOTAAL</w:t>
            </w:r>
          </w:p>
        </w:tc>
        <w:tc>
          <w:tcPr>
            <w:tcW w:w="949" w:type="dxa"/>
            <w:tcBorders>
              <w:top w:val="single" w:sz="12" w:space="0" w:color="auto"/>
              <w:bottom w:val="single" w:sz="12" w:space="0" w:color="auto"/>
              <w:right w:val="single" w:sz="12" w:space="0" w:color="auto"/>
            </w:tcBorders>
            <w:shd w:val="clear" w:color="auto" w:fill="D0CECE"/>
          </w:tcPr>
          <w:p w14:paraId="2D51EE6F" w14:textId="77777777" w:rsidR="002A310E" w:rsidRPr="00EA0AA8" w:rsidRDefault="00DD5469" w:rsidP="00DD5469">
            <w:pPr>
              <w:jc w:val="center"/>
              <w:rPr>
                <w:b/>
              </w:rPr>
            </w:pPr>
            <w:r>
              <w:rPr>
                <w:b/>
              </w:rPr>
              <w:t>3</w:t>
            </w:r>
          </w:p>
        </w:tc>
      </w:tr>
    </w:tbl>
    <w:p w14:paraId="2D51EE71" w14:textId="77777777" w:rsidR="002A310E" w:rsidRDefault="002A310E" w:rsidP="00326699"/>
    <w:p w14:paraId="3CAE1913" w14:textId="2F74B207" w:rsidR="005727B7" w:rsidRDefault="005727B7" w:rsidP="004D1D28">
      <w:pPr>
        <w:ind w:firstLine="227"/>
      </w:pPr>
      <w:r w:rsidRPr="00193994">
        <w:t>Ver</w:t>
      </w:r>
      <w:r>
        <w:t>andering sinds 2015: positief</w:t>
      </w:r>
      <w:r w:rsidRPr="00193994">
        <w:t xml:space="preserve"> =</w:t>
      </w:r>
      <w:r w:rsidR="000D0473">
        <w:t xml:space="preserve"> </w:t>
      </w:r>
      <w:r w:rsidRPr="00193994">
        <w:sym w:font="Wingdings" w:char="F0E9"/>
      </w:r>
    </w:p>
    <w:p w14:paraId="2D51EE73" w14:textId="77777777" w:rsidR="00C852C7" w:rsidRDefault="00C852C7" w:rsidP="00326699"/>
    <w:p w14:paraId="2D51EE74" w14:textId="77777777" w:rsidR="00DE343C" w:rsidRDefault="00344A07" w:rsidP="004D372F">
      <w:pPr>
        <w:pStyle w:val="Heading2"/>
        <w:tabs>
          <w:tab w:val="left" w:pos="-1162"/>
          <w:tab w:val="left" w:pos="0"/>
          <w:tab w:val="num" w:pos="1160"/>
        </w:tabs>
        <w:spacing w:line="240" w:lineRule="auto"/>
        <w:ind w:hanging="1162"/>
      </w:pPr>
      <w:bookmarkStart w:id="35" w:name="_Toc348364671"/>
      <w:bookmarkStart w:id="36" w:name="_Toc491260356"/>
      <w:r>
        <w:t>4</w:t>
      </w:r>
      <w:r w:rsidR="004D372F" w:rsidRPr="004D372F">
        <w:t>.</w:t>
      </w:r>
      <w:r w:rsidR="00A74DEC">
        <w:t>6</w:t>
      </w:r>
      <w:r w:rsidR="004D372F">
        <w:tab/>
      </w:r>
      <w:r w:rsidR="00DE343C" w:rsidRPr="004D372F">
        <w:t>Human Resource Management</w:t>
      </w:r>
      <w:bookmarkEnd w:id="35"/>
      <w:bookmarkEnd w:id="36"/>
    </w:p>
    <w:p w14:paraId="2D51EE76" w14:textId="7731CD86" w:rsidR="00D058AE" w:rsidRDefault="00B563EF" w:rsidP="000D0473">
      <w:r>
        <w:t xml:space="preserve">Het lopende personeelsbeleid werd eind 2014 door de Uitvoerende Raad aangenomen. Deze </w:t>
      </w:r>
      <w:r w:rsidR="00F927A3" w:rsidRPr="00B53EDD">
        <w:rPr>
          <w:i/>
        </w:rPr>
        <w:t xml:space="preserve">People </w:t>
      </w:r>
      <w:proofErr w:type="spellStart"/>
      <w:r w:rsidR="00F927A3" w:rsidRPr="00B53EDD">
        <w:rPr>
          <w:i/>
        </w:rPr>
        <w:t>Strategy</w:t>
      </w:r>
      <w:proofErr w:type="spellEnd"/>
      <w:r w:rsidR="00154F9F">
        <w:rPr>
          <w:i/>
        </w:rPr>
        <w:t xml:space="preserve"> </w:t>
      </w:r>
      <w:r w:rsidR="00154F9F">
        <w:t>maakt duidelijk dat h</w:t>
      </w:r>
      <w:r w:rsidR="00375EFA">
        <w:t>et belangrijkste bez</w:t>
      </w:r>
      <w:r w:rsidR="00D058AE">
        <w:t xml:space="preserve">it van WFP </w:t>
      </w:r>
      <w:r w:rsidR="00154F9F">
        <w:t>haar personeelsbestand is. Het beleid richt zich er 100% op om ervoor te zorgen dat het</w:t>
      </w:r>
      <w:r w:rsidR="00F927A3">
        <w:t xml:space="preserve"> WFP-personeel</w:t>
      </w:r>
      <w:r w:rsidR="00F927A3" w:rsidRPr="001D7DBA">
        <w:t xml:space="preserve"> </w:t>
      </w:r>
      <w:r w:rsidR="00F927A3">
        <w:t xml:space="preserve">goed </w:t>
      </w:r>
      <w:r w:rsidR="00F927A3" w:rsidRPr="001D7DBA">
        <w:t xml:space="preserve">toegerust is om </w:t>
      </w:r>
      <w:r w:rsidR="00154F9F">
        <w:t xml:space="preserve">uitvoering te geven aan het mandaat en de strategische doelstellingen van de organisatie. </w:t>
      </w:r>
      <w:r w:rsidR="00D058AE">
        <w:t>De mobiliteit binnen de organisatie is groot. Internationaal personeel wordt gemiddeld eens per drie jaar overgeplaatst, dit is mede ingegeven omdat i</w:t>
      </w:r>
      <w:r w:rsidR="00F927A3" w:rsidRPr="001D7DBA">
        <w:t>n nood</w:t>
      </w:r>
      <w:r w:rsidR="00D058AE">
        <w:t xml:space="preserve">hulpsituaties </w:t>
      </w:r>
      <w:r w:rsidR="00F927A3" w:rsidRPr="001D7DBA">
        <w:t>onder zee</w:t>
      </w:r>
      <w:r w:rsidR="00F927A3">
        <w:t xml:space="preserve">r moeilijke en vaak gevaarlijke </w:t>
      </w:r>
      <w:r w:rsidR="00F927A3" w:rsidRPr="001D7DBA">
        <w:t xml:space="preserve">omstandigheden </w:t>
      </w:r>
      <w:r w:rsidR="00D058AE">
        <w:t xml:space="preserve">wordt </w:t>
      </w:r>
      <w:r w:rsidR="00F927A3" w:rsidRPr="001D7DBA">
        <w:t xml:space="preserve">gewerkt. </w:t>
      </w:r>
      <w:r w:rsidR="00D058AE">
        <w:t>E</w:t>
      </w:r>
      <w:r w:rsidR="00D058AE" w:rsidRPr="008651F3">
        <w:t xml:space="preserve">en consequentie van de </w:t>
      </w:r>
      <w:r w:rsidR="00D058AE">
        <w:t xml:space="preserve">volledig vrijwillige financiering van de organisatie is het flexibel houden van het personeelsbestand. </w:t>
      </w:r>
      <w:r w:rsidR="00F927A3" w:rsidRPr="008651F3">
        <w:t>Veel lokaal perso</w:t>
      </w:r>
      <w:r w:rsidR="00F927A3">
        <w:t xml:space="preserve">neel </w:t>
      </w:r>
      <w:r w:rsidR="00D058AE">
        <w:t xml:space="preserve">(80% van het totaal) </w:t>
      </w:r>
      <w:r w:rsidR="00F927A3" w:rsidRPr="008651F3">
        <w:t>werkt op</w:t>
      </w:r>
      <w:r w:rsidR="00F927A3">
        <w:t xml:space="preserve"> basis van</w:t>
      </w:r>
      <w:r w:rsidR="00F927A3" w:rsidRPr="008651F3">
        <w:t xml:space="preserve"> tijdelijke contracten</w:t>
      </w:r>
      <w:r w:rsidR="00D058AE">
        <w:t xml:space="preserve">. </w:t>
      </w:r>
      <w:r w:rsidR="00F927A3">
        <w:t>De strategie is professione</w:t>
      </w:r>
      <w:r w:rsidR="00525BEA">
        <w:t>e</w:t>
      </w:r>
      <w:r w:rsidR="00F927A3">
        <w:t xml:space="preserve">l opgezet met </w:t>
      </w:r>
      <w:r w:rsidR="00F927A3" w:rsidRPr="001D7DBA">
        <w:rPr>
          <w:i/>
        </w:rPr>
        <w:t>performance management</w:t>
      </w:r>
      <w:r w:rsidR="00F927A3">
        <w:rPr>
          <w:i/>
        </w:rPr>
        <w:t xml:space="preserve"> </w:t>
      </w:r>
      <w:r w:rsidR="00F927A3">
        <w:t xml:space="preserve">als </w:t>
      </w:r>
      <w:r w:rsidR="00F927A3" w:rsidRPr="001D7DBA">
        <w:t xml:space="preserve">onderdeel van </w:t>
      </w:r>
      <w:proofErr w:type="spellStart"/>
      <w:r w:rsidR="00F927A3" w:rsidRPr="001D7DBA">
        <w:t>WFP</w:t>
      </w:r>
      <w:r w:rsidR="00F927A3">
        <w:t>’</w:t>
      </w:r>
      <w:r w:rsidR="00F927A3" w:rsidRPr="001D7DBA">
        <w:t>s</w:t>
      </w:r>
      <w:proofErr w:type="spellEnd"/>
      <w:r w:rsidR="00F927A3" w:rsidRPr="001D7DBA">
        <w:t xml:space="preserve"> bedrijfscultuur en </w:t>
      </w:r>
      <w:r w:rsidR="00F927A3" w:rsidRPr="001D7DBA">
        <w:rPr>
          <w:i/>
        </w:rPr>
        <w:t>forward human resource planning</w:t>
      </w:r>
      <w:r w:rsidR="00F927A3">
        <w:rPr>
          <w:i/>
        </w:rPr>
        <w:t xml:space="preserve"> </w:t>
      </w:r>
      <w:r w:rsidR="00F927A3">
        <w:t>om beter in te s</w:t>
      </w:r>
      <w:r w:rsidR="00F927A3" w:rsidRPr="001D7DBA">
        <w:t xml:space="preserve">chatten wat voor </w:t>
      </w:r>
      <w:r w:rsidR="00F927A3">
        <w:t>personeel</w:t>
      </w:r>
      <w:r w:rsidR="00F927A3" w:rsidRPr="001D7DBA">
        <w:t xml:space="preserve"> WFP in de toekomst nodig heeft.</w:t>
      </w:r>
      <w:r w:rsidR="00F927A3">
        <w:t xml:space="preserve"> </w:t>
      </w:r>
      <w:r w:rsidR="00D058AE">
        <w:t>Een ander belangrijk onderdeel is h</w:t>
      </w:r>
      <w:r w:rsidR="00F927A3">
        <w:t>et aantrekken van nieuw talent en het behouden van</w:t>
      </w:r>
      <w:r w:rsidR="00F927A3" w:rsidRPr="008651F3">
        <w:t xml:space="preserve"> goede medewerkers</w:t>
      </w:r>
      <w:r w:rsidR="00F927A3">
        <w:t xml:space="preserve">. </w:t>
      </w:r>
      <w:r w:rsidR="00D058AE">
        <w:t>Een update in 2016</w:t>
      </w:r>
      <w:r w:rsidR="00375EFA">
        <w:t xml:space="preserve"> laat zien dat de strategie ambitieus is, maar dat er solide voortgang wordt geboekt. Met een organisatie die voortdurend in beweging is, zowel beleidsmatig als operationeel, is ook een doortastend HR beleid van het grootste belang.</w:t>
      </w:r>
      <w:r w:rsidR="009C23AB">
        <w:t xml:space="preserve"> WFP scoorde in de laatste MOPAN review goed op personeelsb</w:t>
      </w:r>
      <w:r w:rsidR="0099294D">
        <w:t>eleid.</w:t>
      </w:r>
    </w:p>
    <w:p w14:paraId="2D51EE77" w14:textId="77777777" w:rsidR="00D058AE" w:rsidRDefault="00D058AE" w:rsidP="000D0473"/>
    <w:p w14:paraId="2D51EE78" w14:textId="7ED11974" w:rsidR="00F927A3" w:rsidRDefault="009C23AB" w:rsidP="000D0473">
      <w:r>
        <w:t>WFP heeft een redelijk</w:t>
      </w:r>
      <w:r w:rsidR="00BD3B99">
        <w:t>e</w:t>
      </w:r>
      <w:r>
        <w:t xml:space="preserve"> genderbalans, van de ruim 14,000 personeelsleden is ruim 32% vrouw. </w:t>
      </w:r>
      <w:r w:rsidR="00F927A3">
        <w:t xml:space="preserve">Nederland </w:t>
      </w:r>
      <w:r>
        <w:t xml:space="preserve">heeft zich altijd ingezet voor een verdere </w:t>
      </w:r>
      <w:r w:rsidR="00F927A3">
        <w:t>gender-diversiteit</w:t>
      </w:r>
      <w:r w:rsidR="00BD3B99">
        <w:t xml:space="preserve">, met name in </w:t>
      </w:r>
      <w:r w:rsidR="00F927A3">
        <w:t>het lokale personeelsbestand</w:t>
      </w:r>
      <w:r w:rsidR="00BD3B99">
        <w:t>. Hierbij moet worden</w:t>
      </w:r>
      <w:r w:rsidR="00F927A3">
        <w:t xml:space="preserve"> erkend dat</w:t>
      </w:r>
      <w:r w:rsidR="00D22C2F">
        <w:t xml:space="preserve"> veiligheidsrisico’s </w:t>
      </w:r>
      <w:r w:rsidR="00F927A3">
        <w:t xml:space="preserve">in </w:t>
      </w:r>
      <w:r w:rsidR="00F927A3" w:rsidRPr="008651F3">
        <w:t>veel gebieden waar WFP werkt</w:t>
      </w:r>
      <w:r w:rsidR="00BC5562">
        <w:t>,</w:t>
      </w:r>
      <w:r w:rsidR="00F927A3" w:rsidRPr="008651F3">
        <w:t xml:space="preserve"> </w:t>
      </w:r>
      <w:r w:rsidR="00D22C2F">
        <w:t xml:space="preserve">een rol spelen bij </w:t>
      </w:r>
      <w:r w:rsidR="00F927A3" w:rsidRPr="008651F3">
        <w:t xml:space="preserve">beperkt enthousiasme </w:t>
      </w:r>
      <w:r w:rsidR="00BC5562">
        <w:t>bij</w:t>
      </w:r>
      <w:r w:rsidR="00F927A3">
        <w:t xml:space="preserve"> vrouwelijke hulpverleners</w:t>
      </w:r>
      <w:r w:rsidR="00F927A3" w:rsidRPr="008651F3">
        <w:t xml:space="preserve">. </w:t>
      </w:r>
      <w:r w:rsidR="00F927A3">
        <w:t xml:space="preserve">In 2015 is een nieuw Genderbeleid (2015-2020) aangenomen dat zich niet alleen richt op de doelgroepen van WFP, maar ook op het eigen personeel. WFP neemt hiermee de aanbevelingen uit de beleidsevaluatie uit 2013 ter harte. Het nieuwe beleid is in lijn met de standaarden van het </w:t>
      </w:r>
      <w:r w:rsidR="00F927A3" w:rsidRPr="00D42B4B">
        <w:rPr>
          <w:i/>
        </w:rPr>
        <w:t xml:space="preserve">United Nations System-Wide Action Plan on Gender </w:t>
      </w:r>
      <w:proofErr w:type="spellStart"/>
      <w:r w:rsidR="00F927A3" w:rsidRPr="00D42B4B">
        <w:rPr>
          <w:i/>
        </w:rPr>
        <w:t>Equality</w:t>
      </w:r>
      <w:proofErr w:type="spellEnd"/>
      <w:r w:rsidR="00F927A3" w:rsidRPr="00D42B4B">
        <w:rPr>
          <w:i/>
        </w:rPr>
        <w:t xml:space="preserve"> </w:t>
      </w:r>
      <w:proofErr w:type="spellStart"/>
      <w:r w:rsidR="00F927A3" w:rsidRPr="00D42B4B">
        <w:rPr>
          <w:i/>
        </w:rPr>
        <w:t>and</w:t>
      </w:r>
      <w:proofErr w:type="spellEnd"/>
      <w:r w:rsidR="00F927A3" w:rsidRPr="00D42B4B">
        <w:rPr>
          <w:i/>
        </w:rPr>
        <w:t xml:space="preserve"> </w:t>
      </w:r>
      <w:proofErr w:type="spellStart"/>
      <w:r w:rsidR="00F927A3" w:rsidRPr="00D42B4B">
        <w:rPr>
          <w:i/>
        </w:rPr>
        <w:t>the</w:t>
      </w:r>
      <w:proofErr w:type="spellEnd"/>
      <w:r w:rsidR="00F927A3" w:rsidRPr="00D42B4B">
        <w:rPr>
          <w:i/>
        </w:rPr>
        <w:t xml:space="preserve"> Empowerment of </w:t>
      </w:r>
      <w:proofErr w:type="spellStart"/>
      <w:r w:rsidR="00F927A3" w:rsidRPr="00D42B4B">
        <w:rPr>
          <w:i/>
        </w:rPr>
        <w:t>Women</w:t>
      </w:r>
      <w:proofErr w:type="spellEnd"/>
      <w:r w:rsidR="00F927A3" w:rsidRPr="00D42B4B">
        <w:rPr>
          <w:i/>
        </w:rPr>
        <w:t xml:space="preserve"> </w:t>
      </w:r>
      <w:r w:rsidR="00F927A3">
        <w:t xml:space="preserve">(UNSWAP). </w:t>
      </w:r>
    </w:p>
    <w:p w14:paraId="2D51EE79" w14:textId="77777777" w:rsidR="002A310E" w:rsidRDefault="002A310E" w:rsidP="00326699"/>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62"/>
        <w:gridCol w:w="950"/>
      </w:tblGrid>
      <w:tr w:rsidR="002A310E" w:rsidRPr="00EA0AA8" w14:paraId="2D51EE7C" w14:textId="77777777" w:rsidTr="00344A07">
        <w:tc>
          <w:tcPr>
            <w:tcW w:w="6762" w:type="dxa"/>
            <w:tcBorders>
              <w:top w:val="single" w:sz="12" w:space="0" w:color="auto"/>
              <w:left w:val="single" w:sz="12" w:space="0" w:color="auto"/>
              <w:bottom w:val="single" w:sz="12" w:space="0" w:color="auto"/>
            </w:tcBorders>
            <w:shd w:val="clear" w:color="auto" w:fill="D0CECE"/>
          </w:tcPr>
          <w:p w14:paraId="2D51EE7A" w14:textId="77777777" w:rsidR="002A310E" w:rsidRPr="00EA0AA8" w:rsidRDefault="002A310E" w:rsidP="00382AE3">
            <w:pPr>
              <w:rPr>
                <w:b/>
              </w:rPr>
            </w:pPr>
            <w:r w:rsidRPr="00EA0AA8">
              <w:rPr>
                <w:b/>
              </w:rPr>
              <w:t>Onderdeel</w:t>
            </w:r>
          </w:p>
        </w:tc>
        <w:tc>
          <w:tcPr>
            <w:tcW w:w="950" w:type="dxa"/>
            <w:tcBorders>
              <w:top w:val="single" w:sz="12" w:space="0" w:color="auto"/>
              <w:bottom w:val="single" w:sz="12" w:space="0" w:color="auto"/>
              <w:right w:val="single" w:sz="12" w:space="0" w:color="auto"/>
            </w:tcBorders>
            <w:shd w:val="clear" w:color="auto" w:fill="D0CECE"/>
          </w:tcPr>
          <w:p w14:paraId="2D51EE7B" w14:textId="77777777" w:rsidR="002A310E" w:rsidRPr="00EA0AA8" w:rsidRDefault="002A310E" w:rsidP="00382AE3">
            <w:pPr>
              <w:rPr>
                <w:b/>
              </w:rPr>
            </w:pPr>
            <w:r w:rsidRPr="00EA0AA8">
              <w:rPr>
                <w:b/>
              </w:rPr>
              <w:t>Score</w:t>
            </w:r>
          </w:p>
        </w:tc>
      </w:tr>
      <w:tr w:rsidR="002A310E" w14:paraId="2D51EE7F" w14:textId="77777777" w:rsidTr="00344A07">
        <w:tc>
          <w:tcPr>
            <w:tcW w:w="6762" w:type="dxa"/>
            <w:tcBorders>
              <w:top w:val="single" w:sz="12" w:space="0" w:color="auto"/>
              <w:left w:val="single" w:sz="12" w:space="0" w:color="auto"/>
            </w:tcBorders>
            <w:shd w:val="clear" w:color="auto" w:fill="auto"/>
          </w:tcPr>
          <w:p w14:paraId="2D51EE7D" w14:textId="77777777" w:rsidR="002A310E" w:rsidRDefault="00B52E2F" w:rsidP="00382AE3">
            <w:r>
              <w:t xml:space="preserve">Mobiliteit </w:t>
            </w:r>
          </w:p>
        </w:tc>
        <w:tc>
          <w:tcPr>
            <w:tcW w:w="950" w:type="dxa"/>
            <w:tcBorders>
              <w:top w:val="single" w:sz="12" w:space="0" w:color="auto"/>
              <w:right w:val="single" w:sz="12" w:space="0" w:color="auto"/>
            </w:tcBorders>
            <w:shd w:val="clear" w:color="auto" w:fill="auto"/>
          </w:tcPr>
          <w:p w14:paraId="2D51EE7E" w14:textId="77777777" w:rsidR="002A310E" w:rsidRDefault="00BD3B99" w:rsidP="00BD3B99">
            <w:pPr>
              <w:jc w:val="center"/>
            </w:pPr>
            <w:r>
              <w:t>4</w:t>
            </w:r>
          </w:p>
        </w:tc>
      </w:tr>
      <w:tr w:rsidR="002A310E" w14:paraId="2D51EE82" w14:textId="77777777" w:rsidTr="00344A07">
        <w:tc>
          <w:tcPr>
            <w:tcW w:w="6762" w:type="dxa"/>
            <w:tcBorders>
              <w:left w:val="single" w:sz="12" w:space="0" w:color="auto"/>
            </w:tcBorders>
            <w:shd w:val="clear" w:color="auto" w:fill="auto"/>
          </w:tcPr>
          <w:p w14:paraId="2D51EE80" w14:textId="77777777" w:rsidR="002A310E" w:rsidRDefault="00B52E2F" w:rsidP="00B52E2F">
            <w:r>
              <w:t xml:space="preserve">Kwaliteit </w:t>
            </w:r>
          </w:p>
        </w:tc>
        <w:tc>
          <w:tcPr>
            <w:tcW w:w="950" w:type="dxa"/>
            <w:tcBorders>
              <w:right w:val="single" w:sz="12" w:space="0" w:color="auto"/>
            </w:tcBorders>
            <w:shd w:val="clear" w:color="auto" w:fill="auto"/>
          </w:tcPr>
          <w:p w14:paraId="2D51EE81" w14:textId="77777777" w:rsidR="002A310E" w:rsidRDefault="00BD3B99" w:rsidP="00BD3B99">
            <w:pPr>
              <w:jc w:val="center"/>
            </w:pPr>
            <w:r>
              <w:t>3</w:t>
            </w:r>
          </w:p>
        </w:tc>
      </w:tr>
      <w:tr w:rsidR="002A310E" w14:paraId="2D51EE85" w14:textId="77777777" w:rsidTr="00344A07">
        <w:tc>
          <w:tcPr>
            <w:tcW w:w="6762" w:type="dxa"/>
            <w:tcBorders>
              <w:left w:val="single" w:sz="12" w:space="0" w:color="auto"/>
            </w:tcBorders>
            <w:shd w:val="clear" w:color="auto" w:fill="auto"/>
          </w:tcPr>
          <w:p w14:paraId="2D51EE83" w14:textId="77777777" w:rsidR="002A310E" w:rsidRDefault="00B52E2F" w:rsidP="00382AE3">
            <w:r>
              <w:t>Diversiteit</w:t>
            </w:r>
          </w:p>
        </w:tc>
        <w:tc>
          <w:tcPr>
            <w:tcW w:w="950" w:type="dxa"/>
            <w:tcBorders>
              <w:right w:val="single" w:sz="12" w:space="0" w:color="auto"/>
            </w:tcBorders>
            <w:shd w:val="clear" w:color="auto" w:fill="auto"/>
          </w:tcPr>
          <w:p w14:paraId="2D51EE84" w14:textId="77777777" w:rsidR="002A310E" w:rsidRDefault="00BD3B99" w:rsidP="00BD3B99">
            <w:pPr>
              <w:jc w:val="center"/>
            </w:pPr>
            <w:r>
              <w:t>3</w:t>
            </w:r>
          </w:p>
        </w:tc>
      </w:tr>
      <w:tr w:rsidR="002A310E" w14:paraId="2D51EE88" w14:textId="77777777" w:rsidTr="00344A07">
        <w:tc>
          <w:tcPr>
            <w:tcW w:w="6762" w:type="dxa"/>
            <w:tcBorders>
              <w:left w:val="single" w:sz="12" w:space="0" w:color="auto"/>
              <w:bottom w:val="single" w:sz="12" w:space="0" w:color="auto"/>
            </w:tcBorders>
            <w:shd w:val="clear" w:color="auto" w:fill="auto"/>
          </w:tcPr>
          <w:p w14:paraId="2D51EE86" w14:textId="77777777" w:rsidR="002A310E" w:rsidRDefault="00B52E2F" w:rsidP="00382AE3">
            <w:r>
              <w:t>Genderbalans</w:t>
            </w:r>
          </w:p>
        </w:tc>
        <w:tc>
          <w:tcPr>
            <w:tcW w:w="950" w:type="dxa"/>
            <w:tcBorders>
              <w:bottom w:val="single" w:sz="12" w:space="0" w:color="auto"/>
              <w:right w:val="single" w:sz="12" w:space="0" w:color="auto"/>
            </w:tcBorders>
            <w:shd w:val="clear" w:color="auto" w:fill="auto"/>
          </w:tcPr>
          <w:p w14:paraId="2D51EE87" w14:textId="77777777" w:rsidR="002A310E" w:rsidRDefault="00BD3B99" w:rsidP="00BD3B99">
            <w:pPr>
              <w:jc w:val="center"/>
            </w:pPr>
            <w:r>
              <w:t>3</w:t>
            </w:r>
          </w:p>
        </w:tc>
      </w:tr>
      <w:tr w:rsidR="002A310E" w:rsidRPr="00EA0AA8" w14:paraId="2D51EE8B" w14:textId="77777777" w:rsidTr="00344A07">
        <w:tc>
          <w:tcPr>
            <w:tcW w:w="6762" w:type="dxa"/>
            <w:tcBorders>
              <w:top w:val="single" w:sz="12" w:space="0" w:color="auto"/>
              <w:left w:val="single" w:sz="12" w:space="0" w:color="auto"/>
              <w:bottom w:val="single" w:sz="12" w:space="0" w:color="auto"/>
            </w:tcBorders>
            <w:shd w:val="clear" w:color="auto" w:fill="D0CECE"/>
          </w:tcPr>
          <w:p w14:paraId="2D51EE89" w14:textId="77777777" w:rsidR="002A310E" w:rsidRPr="00EA0AA8" w:rsidRDefault="002A310E" w:rsidP="00382AE3">
            <w:pPr>
              <w:rPr>
                <w:b/>
              </w:rPr>
            </w:pPr>
            <w:r w:rsidRPr="00F313B0">
              <w:rPr>
                <w:b/>
              </w:rPr>
              <w:t>TOTAAL</w:t>
            </w:r>
          </w:p>
        </w:tc>
        <w:tc>
          <w:tcPr>
            <w:tcW w:w="950" w:type="dxa"/>
            <w:tcBorders>
              <w:top w:val="single" w:sz="12" w:space="0" w:color="auto"/>
              <w:bottom w:val="single" w:sz="12" w:space="0" w:color="auto"/>
              <w:right w:val="single" w:sz="12" w:space="0" w:color="auto"/>
            </w:tcBorders>
            <w:shd w:val="clear" w:color="auto" w:fill="D0CECE"/>
          </w:tcPr>
          <w:p w14:paraId="2D51EE8A" w14:textId="77777777" w:rsidR="002A310E" w:rsidRPr="00EA0AA8" w:rsidRDefault="00BD3B99" w:rsidP="00BD3B99">
            <w:pPr>
              <w:jc w:val="center"/>
              <w:rPr>
                <w:b/>
              </w:rPr>
            </w:pPr>
            <w:r>
              <w:rPr>
                <w:b/>
              </w:rPr>
              <w:t>3</w:t>
            </w:r>
          </w:p>
        </w:tc>
      </w:tr>
    </w:tbl>
    <w:p w14:paraId="2D51EE8C" w14:textId="04F0D5FE" w:rsidR="002A310E" w:rsidRDefault="002A310E" w:rsidP="00326699"/>
    <w:p w14:paraId="2F7ED6B9" w14:textId="77777777" w:rsidR="005727B7" w:rsidRDefault="005727B7" w:rsidP="004D1D28">
      <w:pPr>
        <w:ind w:firstLine="227"/>
      </w:pPr>
      <w:r w:rsidRPr="00193994">
        <w:t>Verandering</w:t>
      </w:r>
      <w:r>
        <w:t xml:space="preserve"> sinds 2015: neutraal</w:t>
      </w:r>
      <w:r w:rsidRPr="00193994">
        <w:t xml:space="preserve"> = </w:t>
      </w:r>
      <w:r w:rsidRPr="00193994">
        <w:sym w:font="Wingdings" w:char="F0E8"/>
      </w:r>
    </w:p>
    <w:p w14:paraId="264E29B2" w14:textId="77777777" w:rsidR="005727B7" w:rsidRDefault="005727B7" w:rsidP="00326699"/>
    <w:p w14:paraId="2D51EE8D" w14:textId="77777777" w:rsidR="00DE343C" w:rsidRPr="004D372F" w:rsidRDefault="00344A07" w:rsidP="00344A07">
      <w:pPr>
        <w:pStyle w:val="Heading2"/>
        <w:tabs>
          <w:tab w:val="left" w:pos="-1162"/>
          <w:tab w:val="left" w:pos="0"/>
          <w:tab w:val="num" w:pos="1160"/>
        </w:tabs>
        <w:spacing w:line="240" w:lineRule="auto"/>
        <w:ind w:hanging="1162"/>
      </w:pPr>
      <w:bookmarkStart w:id="37" w:name="_Toc491260357"/>
      <w:r>
        <w:t>4</w:t>
      </w:r>
      <w:r w:rsidR="00326699">
        <w:t>.</w:t>
      </w:r>
      <w:r w:rsidR="00A74DEC">
        <w:t>7</w:t>
      </w:r>
      <w:r w:rsidR="004D372F" w:rsidRPr="004D372F">
        <w:t xml:space="preserve"> </w:t>
      </w:r>
      <w:r w:rsidR="004D372F">
        <w:tab/>
      </w:r>
      <w:r w:rsidR="00DE343C" w:rsidRPr="004D372F">
        <w:t xml:space="preserve">Financiële </w:t>
      </w:r>
      <w:r w:rsidR="00DB7D94">
        <w:t>stabiliteit</w:t>
      </w:r>
      <w:bookmarkEnd w:id="37"/>
    </w:p>
    <w:p w14:paraId="2D51EE8F" w14:textId="03E50649" w:rsidR="00B61649" w:rsidRDefault="00B61649" w:rsidP="000D0473">
      <w:r>
        <w:t xml:space="preserve">Voor humanitaire organisaties zoals WFP is het altijd lastig een (realistisch) budget vast te stellen voor het gehele kalenderjaar. Ten eerste zijn de behoeften in de wereld vele malen groter dan de verwachte inkomsten. Dit levert hoge budgetten op, die uiteindelijk maar deels gerealiseerd worden. Daar komt natuurlijk bij dat ook gedurende een budgetjaar er rampen en andere onverwachte situaties zich voordoen die zorgen voor de verhoging van het budget. Dit alles maakt resultaatgericht budgetteren moeilijk. Om deze reden is WFP vanaf </w:t>
      </w:r>
      <w:r w:rsidRPr="00052D39">
        <w:t xml:space="preserve">2015 </w:t>
      </w:r>
      <w:r>
        <w:t>overgestapt op een budget/</w:t>
      </w:r>
      <w:r w:rsidRPr="00052D39">
        <w:t>begroting op basis van verwachte inkomsten (</w:t>
      </w:r>
      <w:r>
        <w:t xml:space="preserve">2015, </w:t>
      </w:r>
      <w:r w:rsidRPr="00052D39">
        <w:t xml:space="preserve">USD 4,4 miljard), </w:t>
      </w:r>
      <w:r>
        <w:t xml:space="preserve">en niet alleen op </w:t>
      </w:r>
      <w:r w:rsidRPr="00052D39">
        <w:t>basis van geïdentificeerde behoeften (2015</w:t>
      </w:r>
      <w:r>
        <w:t>,</w:t>
      </w:r>
      <w:r w:rsidRPr="00052D39">
        <w:t xml:space="preserve"> USD 7,45 miljard, excl. eventuele nieuwe noodtoestanden)</w:t>
      </w:r>
      <w:r w:rsidR="003B6586" w:rsidRPr="00052D39">
        <w:t>.</w:t>
      </w:r>
      <w:r>
        <w:t xml:space="preserve"> Tevens is er voor gekozen om de begroting, die wordt vastgelegd in het </w:t>
      </w:r>
      <w:r w:rsidRPr="00BF31A9">
        <w:rPr>
          <w:i/>
        </w:rPr>
        <w:t>Management Plan</w:t>
      </w:r>
      <w:r>
        <w:rPr>
          <w:i/>
        </w:rPr>
        <w:t>,</w:t>
      </w:r>
      <w:r>
        <w:t xml:space="preserve"> driejarig en ‘rollend’ te </w:t>
      </w:r>
      <w:r>
        <w:lastRenderedPageBreak/>
        <w:t xml:space="preserve">maken. De UR keurt dan het eerste jaar van het </w:t>
      </w:r>
      <w:r w:rsidRPr="00BF31A9">
        <w:rPr>
          <w:i/>
        </w:rPr>
        <w:t>Management Plan</w:t>
      </w:r>
      <w:r>
        <w:t xml:space="preserve"> formeel goed, terwijl de twee jaren daaropvolgend in het document ‘in potlood’ zijn opgenomen. Dit maakt meerjarig, strategisch vooruit plannen deels mogelijk. </w:t>
      </w:r>
    </w:p>
    <w:p w14:paraId="2D51EE90" w14:textId="77777777" w:rsidR="00B61649" w:rsidRDefault="00B61649" w:rsidP="005E02E4"/>
    <w:p w14:paraId="2D51EE91" w14:textId="75495E9D" w:rsidR="005E02E4" w:rsidRPr="00E25372" w:rsidRDefault="005E02E4" w:rsidP="005E02E4">
      <w:r>
        <w:t xml:space="preserve">De </w:t>
      </w:r>
      <w:r w:rsidR="000F1A82">
        <w:t xml:space="preserve">volgende stap die vanaf 2017 zal worden genomen is het samenvoegen van de verschillende projecten per land in </w:t>
      </w:r>
      <w:r w:rsidR="00AE21F8">
        <w:t>éé</w:t>
      </w:r>
      <w:r w:rsidR="000F1A82">
        <w:t xml:space="preserve">n programma. Voorheen waren </w:t>
      </w:r>
      <w:r>
        <w:t>d</w:t>
      </w:r>
      <w:r w:rsidR="00AE21F8">
        <w:t xml:space="preserve">e geldstromen </w:t>
      </w:r>
      <w:r>
        <w:t>o</w:t>
      </w:r>
      <w:r w:rsidRPr="00E25372">
        <w:t>p landenniveau</w:t>
      </w:r>
      <w:r>
        <w:t xml:space="preserve"> </w:t>
      </w:r>
      <w:r w:rsidRPr="00E25372">
        <w:t xml:space="preserve">verspreid over </w:t>
      </w:r>
      <w:r>
        <w:t xml:space="preserve">meerdere </w:t>
      </w:r>
      <w:r w:rsidRPr="00E25372">
        <w:t>projecten, trust f</w:t>
      </w:r>
      <w:r w:rsidR="00C852C7">
        <w:t>ondsen</w:t>
      </w:r>
      <w:r w:rsidRPr="00E25372">
        <w:t xml:space="preserve">, </w:t>
      </w:r>
      <w:r>
        <w:t xml:space="preserve">etc. met </w:t>
      </w:r>
      <w:r w:rsidRPr="00E25372">
        <w:t>elk hun eigen criteria</w:t>
      </w:r>
      <w:r>
        <w:t xml:space="preserve"> en</w:t>
      </w:r>
      <w:r w:rsidRPr="00E25372">
        <w:t xml:space="preserve"> tijdsduur</w:t>
      </w:r>
      <w:r>
        <w:t xml:space="preserve">. Dit bemoeilijkt de </w:t>
      </w:r>
      <w:r w:rsidRPr="00E25372">
        <w:t>lang</w:t>
      </w:r>
      <w:r>
        <w:t>e termijn</w:t>
      </w:r>
      <w:r w:rsidRPr="00E25372">
        <w:t>planning</w:t>
      </w:r>
      <w:r>
        <w:t xml:space="preserve">, effectiviteit en flexibiliteit van </w:t>
      </w:r>
      <w:r w:rsidR="00AE21F8">
        <w:t xml:space="preserve">budgetten op dit niveau. Via de </w:t>
      </w:r>
      <w:r w:rsidR="00C852C7">
        <w:t>'</w:t>
      </w:r>
      <w:r w:rsidR="00AE21F8">
        <w:t>één programma aanpak</w:t>
      </w:r>
      <w:r w:rsidR="00C852C7">
        <w:t>'</w:t>
      </w:r>
      <w:r w:rsidR="00AE21F8">
        <w:t xml:space="preserve"> zullen ook de financiële stromen beter samenkomen </w:t>
      </w:r>
      <w:r w:rsidR="00C970B9">
        <w:t xml:space="preserve">en dit zal leiden tot </w:t>
      </w:r>
      <w:r w:rsidR="00AE21F8">
        <w:t>verder</w:t>
      </w:r>
      <w:r w:rsidR="00C970B9">
        <w:t>e</w:t>
      </w:r>
      <w:r w:rsidR="00AE21F8">
        <w:t xml:space="preserve"> flexibiliteit en daarmee de mogelijkheid tot kostenbesparingen.</w:t>
      </w:r>
    </w:p>
    <w:p w14:paraId="2D51EE92" w14:textId="77777777" w:rsidR="005E02E4" w:rsidRDefault="005E02E4" w:rsidP="005E02E4"/>
    <w:p w14:paraId="2D51EE93" w14:textId="6667F123" w:rsidR="005E02E4" w:rsidRPr="00E74119" w:rsidRDefault="00C970B9" w:rsidP="005E02E4">
      <w:r>
        <w:t xml:space="preserve">Naast het </w:t>
      </w:r>
      <w:r w:rsidRPr="00C970B9">
        <w:rPr>
          <w:i/>
        </w:rPr>
        <w:t xml:space="preserve">advance </w:t>
      </w:r>
      <w:proofErr w:type="spellStart"/>
      <w:r w:rsidRPr="00C970B9">
        <w:rPr>
          <w:i/>
        </w:rPr>
        <w:t>financing</w:t>
      </w:r>
      <w:proofErr w:type="spellEnd"/>
      <w:r>
        <w:t xml:space="preserve"> mechanisme is ook de </w:t>
      </w:r>
      <w:proofErr w:type="spellStart"/>
      <w:r w:rsidRPr="00B53EDD">
        <w:rPr>
          <w:i/>
        </w:rPr>
        <w:t>Immediate</w:t>
      </w:r>
      <w:proofErr w:type="spellEnd"/>
      <w:r w:rsidRPr="00B53EDD">
        <w:rPr>
          <w:i/>
        </w:rPr>
        <w:t xml:space="preserve"> Response Account</w:t>
      </w:r>
      <w:r>
        <w:t xml:space="preserve"> een belangrijke optie voor WFP om middelen direct beschikbaar te maken in het geval van een crisis. Vanwege de grote humanitaire en dus financiële behoeften de afgelopen jaren heeft </w:t>
      </w:r>
      <w:r w:rsidR="005E02E4">
        <w:t xml:space="preserve">de Uitvoerende Raad </w:t>
      </w:r>
      <w:r>
        <w:t xml:space="preserve">in 2015 besloten om het plafond van dit </w:t>
      </w:r>
      <w:proofErr w:type="spellStart"/>
      <w:r>
        <w:t>revolverend</w:t>
      </w:r>
      <w:proofErr w:type="spellEnd"/>
      <w:r>
        <w:t xml:space="preserve"> f</w:t>
      </w:r>
      <w:r w:rsidR="00C852C7">
        <w:t>o</w:t>
      </w:r>
      <w:r>
        <w:t xml:space="preserve">nds op te hogen </w:t>
      </w:r>
      <w:r w:rsidR="005E02E4">
        <w:t xml:space="preserve">van 70 naar USD 200 miljoen. </w:t>
      </w:r>
      <w:r>
        <w:t xml:space="preserve">Het fonds is echter afhankelijk van </w:t>
      </w:r>
      <w:proofErr w:type="spellStart"/>
      <w:r w:rsidR="000A7D4C">
        <w:rPr>
          <w:i/>
        </w:rPr>
        <w:t>core</w:t>
      </w:r>
      <w:proofErr w:type="spellEnd"/>
      <w:r w:rsidR="005E02E4" w:rsidRPr="00E74119">
        <w:t xml:space="preserve"> bijdragen </w:t>
      </w:r>
      <w:r>
        <w:t xml:space="preserve">en Nederland moedigt </w:t>
      </w:r>
      <w:r w:rsidR="005E02E4" w:rsidRPr="00E74119">
        <w:t xml:space="preserve">andere donoren </w:t>
      </w:r>
      <w:r>
        <w:t>aan om hieraan bij te dragen.</w:t>
      </w:r>
    </w:p>
    <w:p w14:paraId="2D51EE94" w14:textId="77777777" w:rsidR="005E02E4" w:rsidRDefault="005E02E4" w:rsidP="005E02E4">
      <w:pPr>
        <w:rPr>
          <w:color w:val="8496B0" w:themeColor="text2" w:themeTint="99"/>
        </w:rPr>
      </w:pPr>
    </w:p>
    <w:p w14:paraId="2D51EE95" w14:textId="55DBE17F" w:rsidR="005E02E4" w:rsidRPr="002939DF" w:rsidRDefault="005E02E4" w:rsidP="000D0473">
      <w:r>
        <w:t>De liqu</w:t>
      </w:r>
      <w:r w:rsidR="001C1281">
        <w:t xml:space="preserve">iditeitspositie van WFP is goed. De totale operationele </w:t>
      </w:r>
      <w:r w:rsidR="001C1281" w:rsidRPr="001C1281">
        <w:rPr>
          <w:i/>
        </w:rPr>
        <w:t xml:space="preserve">fund </w:t>
      </w:r>
      <w:proofErr w:type="spellStart"/>
      <w:r w:rsidR="001C1281" w:rsidRPr="001C1281">
        <w:rPr>
          <w:i/>
        </w:rPr>
        <w:t>balances</w:t>
      </w:r>
      <w:proofErr w:type="spellEnd"/>
      <w:r w:rsidR="001C1281" w:rsidRPr="001C1281">
        <w:rPr>
          <w:i/>
        </w:rPr>
        <w:t xml:space="preserve"> </w:t>
      </w:r>
      <w:proofErr w:type="spellStart"/>
      <w:r w:rsidR="001C1281" w:rsidRPr="001C1281">
        <w:rPr>
          <w:i/>
        </w:rPr>
        <w:t>and</w:t>
      </w:r>
      <w:proofErr w:type="spellEnd"/>
      <w:r w:rsidR="001C1281" w:rsidRPr="001C1281">
        <w:rPr>
          <w:i/>
        </w:rPr>
        <w:t xml:space="preserve"> reserves</w:t>
      </w:r>
      <w:r w:rsidR="001C1281">
        <w:t xml:space="preserve"> </w:t>
      </w:r>
      <w:r>
        <w:t>bedroeg</w:t>
      </w:r>
      <w:r w:rsidR="001C1281">
        <w:t>en USD 4.009</w:t>
      </w:r>
      <w:r>
        <w:t xml:space="preserve"> milj</w:t>
      </w:r>
      <w:r w:rsidR="001C1281">
        <w:t>ard</w:t>
      </w:r>
      <w:r>
        <w:t xml:space="preserve"> eind 201</w:t>
      </w:r>
      <w:r w:rsidR="001C1281">
        <w:t>5</w:t>
      </w:r>
      <w:r>
        <w:t xml:space="preserve">, waarmee de activiteiten </w:t>
      </w:r>
      <w:r w:rsidR="001C1281">
        <w:t>vijf</w:t>
      </w:r>
      <w:r w:rsidR="000D0473">
        <w:t xml:space="preserve"> </w:t>
      </w:r>
      <w:r>
        <w:t xml:space="preserve">maanden gefinancierd kunnen worden. </w:t>
      </w:r>
      <w:r w:rsidR="001C1281">
        <w:t xml:space="preserve">Dit positieve beeld is gelijk aan de afgelopen jaren. </w:t>
      </w:r>
      <w:r w:rsidRPr="002939DF">
        <w:t xml:space="preserve">WFP heeft een </w:t>
      </w:r>
      <w:r w:rsidR="00C970B9">
        <w:t xml:space="preserve">duidelijk en solide </w:t>
      </w:r>
      <w:proofErr w:type="spellStart"/>
      <w:r w:rsidRPr="002939DF">
        <w:rPr>
          <w:i/>
        </w:rPr>
        <w:t>cost</w:t>
      </w:r>
      <w:proofErr w:type="spellEnd"/>
      <w:r w:rsidRPr="002939DF">
        <w:rPr>
          <w:i/>
        </w:rPr>
        <w:t>-recovery</w:t>
      </w:r>
      <w:r w:rsidRPr="002939DF">
        <w:t xml:space="preserve"> beleid. Voor reguliere bijdragen hanteert WFP een 7% </w:t>
      </w:r>
      <w:r w:rsidRPr="00A76B15">
        <w:rPr>
          <w:i/>
        </w:rPr>
        <w:t xml:space="preserve">Indirect Support </w:t>
      </w:r>
      <w:proofErr w:type="spellStart"/>
      <w:r w:rsidRPr="00A76B15">
        <w:rPr>
          <w:i/>
        </w:rPr>
        <w:t>Cost</w:t>
      </w:r>
      <w:proofErr w:type="spellEnd"/>
      <w:r w:rsidRPr="00A76B15">
        <w:rPr>
          <w:i/>
        </w:rPr>
        <w:t xml:space="preserve"> </w:t>
      </w:r>
      <w:proofErr w:type="spellStart"/>
      <w:r w:rsidRPr="00A76B15">
        <w:rPr>
          <w:i/>
        </w:rPr>
        <w:t>Rate</w:t>
      </w:r>
      <w:proofErr w:type="spellEnd"/>
      <w:r w:rsidR="00DE72F6">
        <w:rPr>
          <w:i/>
        </w:rPr>
        <w:t>.</w:t>
      </w:r>
    </w:p>
    <w:p w14:paraId="2D51EE96" w14:textId="77777777" w:rsidR="005E02E4" w:rsidRDefault="005E02E4" w:rsidP="000D0473"/>
    <w:p w14:paraId="2D51EE97" w14:textId="77777777" w:rsidR="005E02E4" w:rsidRDefault="005E02E4" w:rsidP="005E02E4">
      <w:r w:rsidRPr="00B53EDD">
        <w:t xml:space="preserve">In 2009 is WFP gaan werken volgens de </w:t>
      </w:r>
      <w:r w:rsidRPr="00B53EDD">
        <w:rPr>
          <w:i/>
        </w:rPr>
        <w:t>International Public Sector Accounting Standard</w:t>
      </w:r>
      <w:r w:rsidRPr="00B53EDD">
        <w:t xml:space="preserve"> (IPSAS). De Board of Auditors rapporten zijn van goede kwaliteit </w:t>
      </w:r>
      <w:r>
        <w:t xml:space="preserve">en </w:t>
      </w:r>
      <w:r w:rsidRPr="00B53EDD">
        <w:t xml:space="preserve">geven geen grote problemen aan. De </w:t>
      </w:r>
      <w:r>
        <w:t>allocatie-</w:t>
      </w:r>
      <w:r w:rsidRPr="00B53EDD">
        <w:t>systematiek van de fondsen is transparant.</w:t>
      </w:r>
      <w:r>
        <w:t xml:space="preserve"> </w:t>
      </w:r>
      <w:r w:rsidRPr="00B53EDD">
        <w:t xml:space="preserve">Beheerrapportages worden tijdig gepresenteerd en projecten op tijd afgesloten. </w:t>
      </w:r>
      <w:r w:rsidR="001C1281">
        <w:t xml:space="preserve">Voor de </w:t>
      </w:r>
      <w:proofErr w:type="spellStart"/>
      <w:r w:rsidR="001C1281" w:rsidRPr="00791DFE">
        <w:rPr>
          <w:i/>
        </w:rPr>
        <w:t>carry</w:t>
      </w:r>
      <w:proofErr w:type="spellEnd"/>
      <w:r w:rsidR="001C1281" w:rsidRPr="00791DFE">
        <w:rPr>
          <w:i/>
        </w:rPr>
        <w:t xml:space="preserve"> over</w:t>
      </w:r>
      <w:r w:rsidR="001C1281">
        <w:t xml:space="preserve"> heeft WFP een duidelijk proces en goede afspraken met de donoren. </w:t>
      </w:r>
      <w:r w:rsidRPr="00B53EDD">
        <w:t xml:space="preserve">Het management stelt zich ontvankelijk op voor kritiek en suggesties. Er wordt veel waarde gehecht aan bedrijfsmatig denken en verantwoording aan de lidstaten. WFP reageert vlot op specifieke vragen en de rapportages voldoen aan de eisen zoals in de raamovereenkomst is vastgelegd. </w:t>
      </w:r>
    </w:p>
    <w:p w14:paraId="2D51EE98" w14:textId="77777777" w:rsidR="00791DFE" w:rsidRDefault="00791DFE" w:rsidP="005E02E4"/>
    <w:p w14:paraId="2D51EE99" w14:textId="776F5DFD" w:rsidR="00791DFE" w:rsidRPr="00B80F68" w:rsidRDefault="00791DFE" w:rsidP="00B80F68">
      <w:r w:rsidRPr="00C71CC4">
        <w:t xml:space="preserve">Het jaarlijkse rapport van het audit </w:t>
      </w:r>
      <w:r w:rsidR="00C71CC4" w:rsidRPr="00C71CC4">
        <w:t>comité</w:t>
      </w:r>
      <w:r w:rsidR="003B6586" w:rsidRPr="00C71CC4">
        <w:t xml:space="preserve"> </w:t>
      </w:r>
      <w:r w:rsidRPr="00C71CC4">
        <w:t xml:space="preserve">geeft een helder inzicht in het functioneren van WFP. Er zijn de afgelopen jaren geen grote pijnpunten naar boven gekomen. De aanbevelingen zijn in lijn met de continue veranderingen en innovaties die WFP doorvoert en de bijbehorende risico’s. Het audit </w:t>
      </w:r>
      <w:r w:rsidR="00C71CC4" w:rsidRPr="00C71CC4">
        <w:t>comité</w:t>
      </w:r>
      <w:r w:rsidRPr="00C71CC4">
        <w:t xml:space="preserve"> komt tot de </w:t>
      </w:r>
      <w:r w:rsidR="00C71CC4" w:rsidRPr="00C71CC4">
        <w:t>conclusie</w:t>
      </w:r>
      <w:r w:rsidRPr="00C71CC4">
        <w:t xml:space="preserve"> dat </w:t>
      </w:r>
      <w:r w:rsidR="000D0473">
        <w:t>het WFP-</w:t>
      </w:r>
      <w:r w:rsidRPr="00C71CC4">
        <w:t xml:space="preserve">management de aanbevelingen accepteert en </w:t>
      </w:r>
      <w:r w:rsidR="00C71CC4" w:rsidRPr="00C71CC4">
        <w:t>solide werk maakt van de opvolging van deze aanbevelingen</w:t>
      </w:r>
      <w:r w:rsidR="00C71CC4">
        <w:t>.</w:t>
      </w:r>
      <w:r w:rsidRPr="00B80F68">
        <w:t xml:space="preserve"> </w:t>
      </w:r>
    </w:p>
    <w:p w14:paraId="2D51EE9A" w14:textId="77777777" w:rsidR="00C71CC4" w:rsidRDefault="00C71CC4" w:rsidP="00DE343C"/>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63"/>
        <w:gridCol w:w="949"/>
      </w:tblGrid>
      <w:tr w:rsidR="002A310E" w:rsidRPr="00EA0AA8" w14:paraId="2D51EE9D" w14:textId="77777777" w:rsidTr="00344A07">
        <w:tc>
          <w:tcPr>
            <w:tcW w:w="6763" w:type="dxa"/>
            <w:tcBorders>
              <w:top w:val="single" w:sz="12" w:space="0" w:color="auto"/>
              <w:left w:val="single" w:sz="12" w:space="0" w:color="auto"/>
              <w:bottom w:val="single" w:sz="12" w:space="0" w:color="auto"/>
            </w:tcBorders>
            <w:shd w:val="clear" w:color="auto" w:fill="D0CECE"/>
          </w:tcPr>
          <w:p w14:paraId="2D51EE9B" w14:textId="77777777" w:rsidR="002A310E" w:rsidRPr="00EA0AA8" w:rsidRDefault="002A310E" w:rsidP="00382AE3">
            <w:pPr>
              <w:rPr>
                <w:b/>
              </w:rPr>
            </w:pPr>
            <w:r w:rsidRPr="00EA0AA8">
              <w:rPr>
                <w:b/>
              </w:rPr>
              <w:t>Onderdeel</w:t>
            </w:r>
          </w:p>
        </w:tc>
        <w:tc>
          <w:tcPr>
            <w:tcW w:w="949" w:type="dxa"/>
            <w:tcBorders>
              <w:top w:val="single" w:sz="12" w:space="0" w:color="auto"/>
              <w:bottom w:val="single" w:sz="12" w:space="0" w:color="auto"/>
              <w:right w:val="single" w:sz="12" w:space="0" w:color="auto"/>
            </w:tcBorders>
            <w:shd w:val="clear" w:color="auto" w:fill="D0CECE"/>
          </w:tcPr>
          <w:p w14:paraId="2D51EE9C" w14:textId="77777777" w:rsidR="002A310E" w:rsidRPr="00EA0AA8" w:rsidRDefault="002A310E" w:rsidP="00382AE3">
            <w:pPr>
              <w:rPr>
                <w:b/>
              </w:rPr>
            </w:pPr>
            <w:r w:rsidRPr="00EA0AA8">
              <w:rPr>
                <w:b/>
              </w:rPr>
              <w:t>Score</w:t>
            </w:r>
          </w:p>
        </w:tc>
      </w:tr>
      <w:tr w:rsidR="002A310E" w14:paraId="2D51EEA0" w14:textId="77777777" w:rsidTr="00344A07">
        <w:tc>
          <w:tcPr>
            <w:tcW w:w="6763" w:type="dxa"/>
            <w:tcBorders>
              <w:top w:val="single" w:sz="12" w:space="0" w:color="auto"/>
              <w:left w:val="single" w:sz="12" w:space="0" w:color="auto"/>
            </w:tcBorders>
            <w:shd w:val="clear" w:color="auto" w:fill="auto"/>
          </w:tcPr>
          <w:p w14:paraId="2D51EE9E" w14:textId="77777777" w:rsidR="002A310E" w:rsidRDefault="00927293" w:rsidP="00927293">
            <w:r>
              <w:t>Verhouding goedgekeurde begroting / ontvangen bijdragen</w:t>
            </w:r>
          </w:p>
        </w:tc>
        <w:tc>
          <w:tcPr>
            <w:tcW w:w="949" w:type="dxa"/>
            <w:tcBorders>
              <w:top w:val="single" w:sz="12" w:space="0" w:color="auto"/>
              <w:right w:val="single" w:sz="12" w:space="0" w:color="auto"/>
            </w:tcBorders>
            <w:shd w:val="clear" w:color="auto" w:fill="auto"/>
          </w:tcPr>
          <w:p w14:paraId="2D51EE9F" w14:textId="77777777" w:rsidR="002A310E" w:rsidRDefault="00194DE4" w:rsidP="006F372A">
            <w:pPr>
              <w:jc w:val="center"/>
            </w:pPr>
            <w:r>
              <w:t>4</w:t>
            </w:r>
          </w:p>
        </w:tc>
      </w:tr>
      <w:tr w:rsidR="002A310E" w14:paraId="2D51EEA3" w14:textId="77777777" w:rsidTr="00344A07">
        <w:tc>
          <w:tcPr>
            <w:tcW w:w="6763" w:type="dxa"/>
            <w:tcBorders>
              <w:left w:val="single" w:sz="12" w:space="0" w:color="auto"/>
            </w:tcBorders>
            <w:shd w:val="clear" w:color="auto" w:fill="auto"/>
          </w:tcPr>
          <w:p w14:paraId="2D51EEA1" w14:textId="77777777" w:rsidR="002A310E" w:rsidRDefault="00927293" w:rsidP="00382AE3">
            <w:r>
              <w:t>Liquiditeitspositie en/of solvabiliteitspositie</w:t>
            </w:r>
          </w:p>
        </w:tc>
        <w:tc>
          <w:tcPr>
            <w:tcW w:w="949" w:type="dxa"/>
            <w:tcBorders>
              <w:right w:val="single" w:sz="12" w:space="0" w:color="auto"/>
            </w:tcBorders>
            <w:shd w:val="clear" w:color="auto" w:fill="auto"/>
          </w:tcPr>
          <w:p w14:paraId="2D51EEA2" w14:textId="77777777" w:rsidR="002A310E" w:rsidRDefault="00194DE4" w:rsidP="006F372A">
            <w:pPr>
              <w:jc w:val="center"/>
            </w:pPr>
            <w:r>
              <w:t>4</w:t>
            </w:r>
          </w:p>
        </w:tc>
      </w:tr>
      <w:tr w:rsidR="002A310E" w14:paraId="2D51EEA6" w14:textId="77777777" w:rsidTr="00344A07">
        <w:tc>
          <w:tcPr>
            <w:tcW w:w="6763" w:type="dxa"/>
            <w:tcBorders>
              <w:left w:val="single" w:sz="12" w:space="0" w:color="auto"/>
            </w:tcBorders>
            <w:shd w:val="clear" w:color="auto" w:fill="auto"/>
          </w:tcPr>
          <w:p w14:paraId="2D51EEA4" w14:textId="77777777" w:rsidR="002A310E" w:rsidRDefault="00927293" w:rsidP="00382AE3">
            <w:r>
              <w:t>Interne auditfunctie</w:t>
            </w:r>
          </w:p>
        </w:tc>
        <w:tc>
          <w:tcPr>
            <w:tcW w:w="949" w:type="dxa"/>
            <w:tcBorders>
              <w:right w:val="single" w:sz="12" w:space="0" w:color="auto"/>
            </w:tcBorders>
            <w:shd w:val="clear" w:color="auto" w:fill="auto"/>
          </w:tcPr>
          <w:p w14:paraId="2D51EEA5" w14:textId="77777777" w:rsidR="002A310E" w:rsidRDefault="006F372A" w:rsidP="006F372A">
            <w:pPr>
              <w:jc w:val="center"/>
            </w:pPr>
            <w:r>
              <w:t>4</w:t>
            </w:r>
          </w:p>
        </w:tc>
      </w:tr>
      <w:tr w:rsidR="00927293" w14:paraId="2D51EEA9" w14:textId="77777777" w:rsidTr="00344A07">
        <w:tc>
          <w:tcPr>
            <w:tcW w:w="6763" w:type="dxa"/>
            <w:tcBorders>
              <w:left w:val="single" w:sz="12" w:space="0" w:color="auto"/>
            </w:tcBorders>
            <w:shd w:val="clear" w:color="auto" w:fill="auto"/>
          </w:tcPr>
          <w:p w14:paraId="2D51EEA7" w14:textId="77777777" w:rsidR="00927293" w:rsidRDefault="00927293" w:rsidP="00382AE3">
            <w:r>
              <w:t>Kwaliteit rapportages</w:t>
            </w:r>
          </w:p>
        </w:tc>
        <w:tc>
          <w:tcPr>
            <w:tcW w:w="949" w:type="dxa"/>
            <w:tcBorders>
              <w:right w:val="single" w:sz="12" w:space="0" w:color="auto"/>
            </w:tcBorders>
            <w:shd w:val="clear" w:color="auto" w:fill="auto"/>
          </w:tcPr>
          <w:p w14:paraId="2D51EEA8" w14:textId="77777777" w:rsidR="00927293" w:rsidRDefault="006F372A" w:rsidP="006F372A">
            <w:pPr>
              <w:jc w:val="center"/>
            </w:pPr>
            <w:r>
              <w:t>4</w:t>
            </w:r>
          </w:p>
        </w:tc>
      </w:tr>
      <w:tr w:rsidR="00927293" w14:paraId="2D51EEAC" w14:textId="77777777" w:rsidTr="00344A07">
        <w:tc>
          <w:tcPr>
            <w:tcW w:w="6763" w:type="dxa"/>
            <w:tcBorders>
              <w:left w:val="single" w:sz="12" w:space="0" w:color="auto"/>
            </w:tcBorders>
            <w:shd w:val="clear" w:color="auto" w:fill="auto"/>
          </w:tcPr>
          <w:p w14:paraId="2D51EEAA" w14:textId="77777777" w:rsidR="00927293" w:rsidRDefault="00927293" w:rsidP="00382AE3">
            <w:r>
              <w:t>Samenhang tussen inhoudelijke en financiële rapportages</w:t>
            </w:r>
          </w:p>
        </w:tc>
        <w:tc>
          <w:tcPr>
            <w:tcW w:w="949" w:type="dxa"/>
            <w:tcBorders>
              <w:right w:val="single" w:sz="12" w:space="0" w:color="auto"/>
            </w:tcBorders>
            <w:shd w:val="clear" w:color="auto" w:fill="auto"/>
          </w:tcPr>
          <w:p w14:paraId="2D51EEAB" w14:textId="77777777" w:rsidR="00927293" w:rsidRDefault="006F372A" w:rsidP="006F372A">
            <w:pPr>
              <w:jc w:val="center"/>
            </w:pPr>
            <w:r>
              <w:t>4</w:t>
            </w:r>
          </w:p>
        </w:tc>
      </w:tr>
      <w:tr w:rsidR="002A310E" w:rsidRPr="00EA0AA8" w14:paraId="2D51EEAF" w14:textId="77777777" w:rsidTr="00344A07">
        <w:tc>
          <w:tcPr>
            <w:tcW w:w="6763" w:type="dxa"/>
            <w:tcBorders>
              <w:top w:val="single" w:sz="12" w:space="0" w:color="auto"/>
              <w:left w:val="single" w:sz="12" w:space="0" w:color="auto"/>
              <w:bottom w:val="single" w:sz="12" w:space="0" w:color="auto"/>
            </w:tcBorders>
            <w:shd w:val="clear" w:color="auto" w:fill="D0CECE"/>
          </w:tcPr>
          <w:p w14:paraId="2D51EEAD" w14:textId="77777777" w:rsidR="002A310E" w:rsidRPr="00EA0AA8" w:rsidRDefault="002A310E" w:rsidP="00382AE3">
            <w:pPr>
              <w:rPr>
                <w:b/>
              </w:rPr>
            </w:pPr>
            <w:r w:rsidRPr="00F313B0">
              <w:rPr>
                <w:b/>
              </w:rPr>
              <w:t>TOTAAL</w:t>
            </w:r>
          </w:p>
        </w:tc>
        <w:tc>
          <w:tcPr>
            <w:tcW w:w="949" w:type="dxa"/>
            <w:tcBorders>
              <w:top w:val="single" w:sz="12" w:space="0" w:color="auto"/>
              <w:bottom w:val="single" w:sz="12" w:space="0" w:color="auto"/>
              <w:right w:val="single" w:sz="12" w:space="0" w:color="auto"/>
            </w:tcBorders>
            <w:shd w:val="clear" w:color="auto" w:fill="D0CECE"/>
          </w:tcPr>
          <w:p w14:paraId="2D51EEAE" w14:textId="77777777" w:rsidR="002A310E" w:rsidRPr="00EA0AA8" w:rsidRDefault="006F372A" w:rsidP="006F372A">
            <w:pPr>
              <w:jc w:val="center"/>
              <w:rPr>
                <w:b/>
              </w:rPr>
            </w:pPr>
            <w:r>
              <w:rPr>
                <w:b/>
              </w:rPr>
              <w:t>4</w:t>
            </w:r>
          </w:p>
        </w:tc>
      </w:tr>
    </w:tbl>
    <w:p w14:paraId="2D51EEB0" w14:textId="77777777" w:rsidR="002A310E" w:rsidRDefault="002A310E" w:rsidP="00DE343C"/>
    <w:p w14:paraId="4B37E9BC" w14:textId="74B5B78F" w:rsidR="005727B7" w:rsidRDefault="005727B7" w:rsidP="004D1D28">
      <w:pPr>
        <w:ind w:firstLine="227"/>
      </w:pPr>
      <w:r w:rsidRPr="00193994">
        <w:t>Ver</w:t>
      </w:r>
      <w:r>
        <w:t>andering sinds 2015: positief</w:t>
      </w:r>
      <w:r w:rsidRPr="00193994">
        <w:t xml:space="preserve"> =</w:t>
      </w:r>
      <w:r w:rsidR="000D0473">
        <w:t xml:space="preserve"> </w:t>
      </w:r>
      <w:r w:rsidRPr="00193994">
        <w:sym w:font="Wingdings" w:char="F0E9"/>
      </w:r>
    </w:p>
    <w:p w14:paraId="2D51EEB2" w14:textId="77777777" w:rsidR="00B80F68" w:rsidRDefault="00B80F68" w:rsidP="00DE343C"/>
    <w:p w14:paraId="2D51EEB3" w14:textId="1316E0AF" w:rsidR="00382AE3" w:rsidRDefault="00344A07" w:rsidP="00382AE3">
      <w:pPr>
        <w:pStyle w:val="Heading2"/>
        <w:tabs>
          <w:tab w:val="left" w:pos="-1162"/>
          <w:tab w:val="left" w:pos="0"/>
          <w:tab w:val="num" w:pos="1160"/>
        </w:tabs>
        <w:spacing w:line="240" w:lineRule="auto"/>
        <w:ind w:hanging="1162"/>
      </w:pPr>
      <w:bookmarkStart w:id="38" w:name="_Toc491260358"/>
      <w:r>
        <w:lastRenderedPageBreak/>
        <w:t>4</w:t>
      </w:r>
      <w:r w:rsidR="00382AE3">
        <w:t>.8</w:t>
      </w:r>
      <w:r w:rsidR="00382AE3" w:rsidRPr="004D372F">
        <w:t xml:space="preserve"> </w:t>
      </w:r>
      <w:r w:rsidR="00382AE3">
        <w:tab/>
      </w:r>
      <w:r w:rsidR="004D1D28">
        <w:t>Kosten</w:t>
      </w:r>
      <w:r w:rsidR="00C16DD0">
        <w:t>reductie</w:t>
      </w:r>
      <w:bookmarkEnd w:id="38"/>
    </w:p>
    <w:p w14:paraId="2D51EEB5" w14:textId="1C001A76" w:rsidR="002B1995" w:rsidRDefault="00CB484D" w:rsidP="000D0473">
      <w:r>
        <w:t xml:space="preserve">De verhouding tussen de </w:t>
      </w:r>
      <w:r w:rsidR="000D0473">
        <w:t>programma uitgaven</w:t>
      </w:r>
      <w:r>
        <w:t xml:space="preserve"> en de overhead ligt bij WFP besloten in de </w:t>
      </w:r>
      <w:r>
        <w:rPr>
          <w:i/>
        </w:rPr>
        <w:t xml:space="preserve">Full </w:t>
      </w:r>
      <w:proofErr w:type="spellStart"/>
      <w:r>
        <w:rPr>
          <w:i/>
        </w:rPr>
        <w:t>Cost</w:t>
      </w:r>
      <w:proofErr w:type="spellEnd"/>
      <w:r>
        <w:rPr>
          <w:i/>
        </w:rPr>
        <w:t xml:space="preserve"> R</w:t>
      </w:r>
      <w:r w:rsidRPr="00CB484D">
        <w:rPr>
          <w:i/>
        </w:rPr>
        <w:t xml:space="preserve">ecovery </w:t>
      </w:r>
      <w:proofErr w:type="spellStart"/>
      <w:r w:rsidRPr="00CB484D">
        <w:rPr>
          <w:i/>
        </w:rPr>
        <w:t>rate</w:t>
      </w:r>
      <w:proofErr w:type="spellEnd"/>
      <w:r w:rsidR="00915FE5">
        <w:t xml:space="preserve"> van 7%. </w:t>
      </w:r>
      <w:r w:rsidR="00C35421">
        <w:t xml:space="preserve">Het </w:t>
      </w:r>
      <w:proofErr w:type="spellStart"/>
      <w:r w:rsidR="00C35421" w:rsidRPr="00C35421">
        <w:rPr>
          <w:i/>
        </w:rPr>
        <w:t>Programme</w:t>
      </w:r>
      <w:proofErr w:type="spellEnd"/>
      <w:r w:rsidR="00C35421" w:rsidRPr="00C35421">
        <w:rPr>
          <w:i/>
        </w:rPr>
        <w:t xml:space="preserve"> Support </w:t>
      </w:r>
      <w:proofErr w:type="spellStart"/>
      <w:r w:rsidR="00C35421" w:rsidRPr="00C35421">
        <w:rPr>
          <w:i/>
        </w:rPr>
        <w:t>and</w:t>
      </w:r>
      <w:proofErr w:type="spellEnd"/>
      <w:r w:rsidR="00C35421" w:rsidRPr="00C35421">
        <w:rPr>
          <w:i/>
        </w:rPr>
        <w:t xml:space="preserve"> </w:t>
      </w:r>
      <w:proofErr w:type="spellStart"/>
      <w:r w:rsidR="00C35421" w:rsidRPr="00C35421">
        <w:rPr>
          <w:i/>
        </w:rPr>
        <w:t>Administrative</w:t>
      </w:r>
      <w:proofErr w:type="spellEnd"/>
      <w:r w:rsidR="00C35421">
        <w:t xml:space="preserve"> (PSA) budget wordt opgesteld binnen deze verwachte inkomsten uit de 7% </w:t>
      </w:r>
      <w:proofErr w:type="spellStart"/>
      <w:r w:rsidR="009164C9" w:rsidRPr="00BC5562">
        <w:rPr>
          <w:i/>
        </w:rPr>
        <w:t>cost</w:t>
      </w:r>
      <w:proofErr w:type="spellEnd"/>
      <w:r w:rsidR="009164C9" w:rsidRPr="00BC5562">
        <w:rPr>
          <w:i/>
        </w:rPr>
        <w:t xml:space="preserve"> recovery</w:t>
      </w:r>
      <w:r w:rsidR="00C35421">
        <w:t xml:space="preserve">. Er is ook een </w:t>
      </w:r>
      <w:r w:rsidR="00C35421" w:rsidRPr="00FB6452">
        <w:rPr>
          <w:i/>
        </w:rPr>
        <w:t xml:space="preserve">PSA </w:t>
      </w:r>
      <w:proofErr w:type="spellStart"/>
      <w:r w:rsidR="00FB6452" w:rsidRPr="00FB6452">
        <w:rPr>
          <w:i/>
        </w:rPr>
        <w:t>equalization</w:t>
      </w:r>
      <w:proofErr w:type="spellEnd"/>
      <w:r w:rsidR="00FB6452" w:rsidRPr="00FB6452">
        <w:rPr>
          <w:i/>
        </w:rPr>
        <w:t xml:space="preserve"> account</w:t>
      </w:r>
      <w:r w:rsidR="00FB6452">
        <w:rPr>
          <w:i/>
        </w:rPr>
        <w:t xml:space="preserve">, </w:t>
      </w:r>
      <w:r w:rsidR="00FB6452">
        <w:t xml:space="preserve">die als buffer dient voor de wisselende inkomsten elk jaar. De afgelopen jaren heeft deze account altijd een positief saldo gehad en zijn er soms nog additionele investeringen uit gedaan. </w:t>
      </w:r>
      <w:r w:rsidR="006927E9">
        <w:t xml:space="preserve">Met jaarlijkse </w:t>
      </w:r>
      <w:r w:rsidR="004459A8">
        <w:t>inkomsten van boven de USD 5 miljard is er zo’n 300 miljoen beschikbaar voor overhead kosten.</w:t>
      </w:r>
    </w:p>
    <w:p w14:paraId="2D51EEB6" w14:textId="77777777" w:rsidR="004459A8" w:rsidRPr="002B1995" w:rsidRDefault="004459A8" w:rsidP="000D0473"/>
    <w:p w14:paraId="2D51EEB7" w14:textId="643F4788" w:rsidR="002B1995" w:rsidRDefault="002B1995" w:rsidP="000D0473">
      <w:r>
        <w:t xml:space="preserve">Binnen deze enorme geldstormen is WFP continu op zoek naar efficiëntie en effectiviteitverbeteringen. In nauw overleg en met goedkeuring van de Uitvoerende Raad zijn de afgelopen jaren vele initiatieven ontwikkeld en uitgerold. Een goed voorbeeld hiervan is de mogelijkheid om binnen de cashflow </w:t>
      </w:r>
      <w:r w:rsidRPr="00E74119">
        <w:t xml:space="preserve">fondsen te </w:t>
      </w:r>
      <w:r>
        <w:t>‘</w:t>
      </w:r>
      <w:r w:rsidRPr="00E74119">
        <w:t>lenen</w:t>
      </w:r>
      <w:r>
        <w:t>’</w:t>
      </w:r>
      <w:r w:rsidRPr="00E74119">
        <w:t xml:space="preserve"> tegen toekomst</w:t>
      </w:r>
      <w:r>
        <w:t xml:space="preserve">ig verwachte donorbijdragen. Dit is gekoppeld aan een </w:t>
      </w:r>
      <w:r w:rsidRPr="00E74119">
        <w:rPr>
          <w:i/>
        </w:rPr>
        <w:t xml:space="preserve">forward </w:t>
      </w:r>
      <w:proofErr w:type="spellStart"/>
      <w:r w:rsidRPr="00E74119">
        <w:rPr>
          <w:i/>
        </w:rPr>
        <w:t>purchasing</w:t>
      </w:r>
      <w:proofErr w:type="spellEnd"/>
      <w:r w:rsidRPr="00E74119">
        <w:rPr>
          <w:i/>
        </w:rPr>
        <w:t xml:space="preserve"> facility</w:t>
      </w:r>
      <w:r>
        <w:t xml:space="preserve">, waarmee voedsel tegen gunstige marktprijzen op het juiste moment wordt ingekocht en via een aantal vastgelegde transportcorridors naar de verwachte toekomstige noodgebieden word getransporteerd. Hiermee versnelt WFP de logistieke processen en ontvangen projecten bijna twee keer sneller de benodigde voedselvoorraden. Inmiddels verloopt een kwart van </w:t>
      </w:r>
      <w:proofErr w:type="spellStart"/>
      <w:r>
        <w:t>WFP’s</w:t>
      </w:r>
      <w:proofErr w:type="spellEnd"/>
      <w:r>
        <w:t xml:space="preserve"> uitgaven via deze </w:t>
      </w:r>
      <w:r w:rsidRPr="00B53EDD">
        <w:rPr>
          <w:i/>
        </w:rPr>
        <w:t xml:space="preserve">advance </w:t>
      </w:r>
      <w:proofErr w:type="spellStart"/>
      <w:r w:rsidRPr="00B53EDD">
        <w:rPr>
          <w:i/>
        </w:rPr>
        <w:t>financing</w:t>
      </w:r>
      <w:proofErr w:type="spellEnd"/>
      <w:r>
        <w:rPr>
          <w:i/>
        </w:rPr>
        <w:t xml:space="preserve"> </w:t>
      </w:r>
      <w:r>
        <w:t>modaliteit. Met deze ingenieuze en innovatieve financieringsmodaliteiten weet WFP uitzonderlijk efficiënt de voedselverlening te realiseren en een gezonde financiële basis te behouden.</w:t>
      </w:r>
    </w:p>
    <w:p w14:paraId="0713D02F" w14:textId="102FC092" w:rsidR="006000D9" w:rsidRDefault="006000D9" w:rsidP="000D0473"/>
    <w:p w14:paraId="12FB4E39" w14:textId="577C194E" w:rsidR="006000D9" w:rsidRDefault="006000D9" w:rsidP="000D0473">
      <w:r>
        <w:t xml:space="preserve">WFP </w:t>
      </w:r>
      <w:r>
        <w:rPr>
          <w:rFonts w:cs="Verdana"/>
          <w:szCs w:val="18"/>
        </w:rPr>
        <w:t>volgt het algemene VN-beleid wat betreft salarissen en secundaire arbeidsvoorwaarden. Dit wordt in de vijfde commissie vastgesteld.</w:t>
      </w:r>
    </w:p>
    <w:p w14:paraId="2D51EEB8" w14:textId="77777777" w:rsidR="00382AE3" w:rsidRPr="00382AE3" w:rsidRDefault="00382AE3" w:rsidP="00A13499"/>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65"/>
        <w:gridCol w:w="947"/>
      </w:tblGrid>
      <w:tr w:rsidR="00382AE3" w:rsidRPr="00EA0AA8" w14:paraId="2D51EEBB" w14:textId="77777777" w:rsidTr="00344A07">
        <w:tc>
          <w:tcPr>
            <w:tcW w:w="6765" w:type="dxa"/>
            <w:tcBorders>
              <w:top w:val="single" w:sz="12" w:space="0" w:color="auto"/>
              <w:left w:val="single" w:sz="12" w:space="0" w:color="auto"/>
              <w:bottom w:val="single" w:sz="12" w:space="0" w:color="auto"/>
            </w:tcBorders>
            <w:shd w:val="clear" w:color="auto" w:fill="D0CECE"/>
          </w:tcPr>
          <w:p w14:paraId="2D51EEB9" w14:textId="77777777" w:rsidR="00382AE3" w:rsidRPr="00EA0AA8" w:rsidRDefault="00382AE3" w:rsidP="00382AE3">
            <w:pPr>
              <w:rPr>
                <w:b/>
              </w:rPr>
            </w:pPr>
            <w:r w:rsidRPr="00EA0AA8">
              <w:rPr>
                <w:b/>
              </w:rPr>
              <w:t>Onderdeel</w:t>
            </w:r>
          </w:p>
        </w:tc>
        <w:tc>
          <w:tcPr>
            <w:tcW w:w="947" w:type="dxa"/>
            <w:tcBorders>
              <w:top w:val="single" w:sz="12" w:space="0" w:color="auto"/>
              <w:bottom w:val="single" w:sz="12" w:space="0" w:color="auto"/>
              <w:right w:val="single" w:sz="12" w:space="0" w:color="auto"/>
            </w:tcBorders>
            <w:shd w:val="clear" w:color="auto" w:fill="D0CECE"/>
          </w:tcPr>
          <w:p w14:paraId="2D51EEBA" w14:textId="77777777" w:rsidR="00382AE3" w:rsidRPr="004459A8" w:rsidRDefault="00382AE3" w:rsidP="004459A8">
            <w:pPr>
              <w:jc w:val="center"/>
            </w:pPr>
            <w:r w:rsidRPr="004459A8">
              <w:t>Score</w:t>
            </w:r>
          </w:p>
        </w:tc>
      </w:tr>
      <w:tr w:rsidR="00382AE3" w14:paraId="2D51EEBE" w14:textId="77777777" w:rsidTr="00344A07">
        <w:tc>
          <w:tcPr>
            <w:tcW w:w="6765" w:type="dxa"/>
            <w:tcBorders>
              <w:top w:val="single" w:sz="12" w:space="0" w:color="auto"/>
              <w:left w:val="single" w:sz="12" w:space="0" w:color="auto"/>
            </w:tcBorders>
            <w:shd w:val="clear" w:color="auto" w:fill="auto"/>
          </w:tcPr>
          <w:p w14:paraId="2D51EEBC" w14:textId="77777777" w:rsidR="00382AE3" w:rsidRDefault="002568BC" w:rsidP="00382AE3">
            <w:r>
              <w:t>Verhouding programma-uitgaven/overhead</w:t>
            </w:r>
          </w:p>
        </w:tc>
        <w:tc>
          <w:tcPr>
            <w:tcW w:w="947" w:type="dxa"/>
            <w:tcBorders>
              <w:top w:val="single" w:sz="12" w:space="0" w:color="auto"/>
              <w:right w:val="single" w:sz="12" w:space="0" w:color="auto"/>
            </w:tcBorders>
            <w:shd w:val="clear" w:color="auto" w:fill="auto"/>
          </w:tcPr>
          <w:p w14:paraId="2D51EEBD" w14:textId="77777777" w:rsidR="00382AE3" w:rsidRPr="004459A8" w:rsidRDefault="004459A8" w:rsidP="004459A8">
            <w:pPr>
              <w:jc w:val="center"/>
            </w:pPr>
            <w:r w:rsidRPr="004459A8">
              <w:t>4</w:t>
            </w:r>
          </w:p>
        </w:tc>
      </w:tr>
      <w:tr w:rsidR="00382AE3" w14:paraId="2D51EEC1" w14:textId="77777777" w:rsidTr="00344A07">
        <w:tc>
          <w:tcPr>
            <w:tcW w:w="6765" w:type="dxa"/>
            <w:tcBorders>
              <w:left w:val="single" w:sz="12" w:space="0" w:color="auto"/>
            </w:tcBorders>
            <w:shd w:val="clear" w:color="auto" w:fill="auto"/>
          </w:tcPr>
          <w:p w14:paraId="2D51EEBF" w14:textId="77777777" w:rsidR="00382AE3" w:rsidRDefault="002568BC" w:rsidP="00A21A93">
            <w:r>
              <w:t>Kosteneff</w:t>
            </w:r>
            <w:r w:rsidR="00A21A93">
              <w:t xml:space="preserve">ectiviteit </w:t>
            </w:r>
            <w:r>
              <w:t>programma’s</w:t>
            </w:r>
          </w:p>
        </w:tc>
        <w:tc>
          <w:tcPr>
            <w:tcW w:w="947" w:type="dxa"/>
            <w:tcBorders>
              <w:right w:val="single" w:sz="12" w:space="0" w:color="auto"/>
            </w:tcBorders>
            <w:shd w:val="clear" w:color="auto" w:fill="auto"/>
          </w:tcPr>
          <w:p w14:paraId="2D51EEC0" w14:textId="77777777" w:rsidR="00382AE3" w:rsidRPr="004459A8" w:rsidRDefault="004459A8" w:rsidP="004459A8">
            <w:pPr>
              <w:jc w:val="center"/>
            </w:pPr>
            <w:r w:rsidRPr="004459A8">
              <w:t>3</w:t>
            </w:r>
          </w:p>
        </w:tc>
      </w:tr>
      <w:tr w:rsidR="00382AE3" w14:paraId="2D51EEC4" w14:textId="77777777" w:rsidTr="00344A07">
        <w:tc>
          <w:tcPr>
            <w:tcW w:w="6765" w:type="dxa"/>
            <w:tcBorders>
              <w:left w:val="single" w:sz="12" w:space="0" w:color="auto"/>
            </w:tcBorders>
            <w:shd w:val="clear" w:color="auto" w:fill="auto"/>
          </w:tcPr>
          <w:p w14:paraId="2D51EEC2" w14:textId="77777777" w:rsidR="00382AE3" w:rsidRDefault="002568BC" w:rsidP="00382AE3">
            <w:r>
              <w:t>Versobering salarissen en secundaire arbeidsvoorwaarden</w:t>
            </w:r>
          </w:p>
        </w:tc>
        <w:tc>
          <w:tcPr>
            <w:tcW w:w="947" w:type="dxa"/>
            <w:tcBorders>
              <w:right w:val="single" w:sz="12" w:space="0" w:color="auto"/>
            </w:tcBorders>
            <w:shd w:val="clear" w:color="auto" w:fill="auto"/>
          </w:tcPr>
          <w:p w14:paraId="2D51EEC3" w14:textId="77777777" w:rsidR="00382AE3" w:rsidRPr="004459A8" w:rsidRDefault="004459A8" w:rsidP="004459A8">
            <w:pPr>
              <w:jc w:val="center"/>
            </w:pPr>
            <w:r w:rsidRPr="004459A8">
              <w:t>3</w:t>
            </w:r>
          </w:p>
        </w:tc>
      </w:tr>
      <w:tr w:rsidR="00382AE3" w:rsidRPr="00EA0AA8" w14:paraId="2D51EEC7" w14:textId="77777777" w:rsidTr="00344A07">
        <w:tc>
          <w:tcPr>
            <w:tcW w:w="6765" w:type="dxa"/>
            <w:tcBorders>
              <w:top w:val="single" w:sz="12" w:space="0" w:color="auto"/>
              <w:left w:val="single" w:sz="12" w:space="0" w:color="auto"/>
              <w:bottom w:val="single" w:sz="12" w:space="0" w:color="auto"/>
            </w:tcBorders>
            <w:shd w:val="clear" w:color="auto" w:fill="D0CECE"/>
          </w:tcPr>
          <w:p w14:paraId="2D51EEC5" w14:textId="77777777" w:rsidR="00382AE3" w:rsidRPr="00EA0AA8" w:rsidRDefault="00382AE3" w:rsidP="00382AE3">
            <w:pPr>
              <w:rPr>
                <w:b/>
              </w:rPr>
            </w:pPr>
            <w:r w:rsidRPr="00F313B0">
              <w:rPr>
                <w:b/>
              </w:rPr>
              <w:t>TOTAAL</w:t>
            </w:r>
          </w:p>
        </w:tc>
        <w:tc>
          <w:tcPr>
            <w:tcW w:w="947" w:type="dxa"/>
            <w:tcBorders>
              <w:top w:val="single" w:sz="12" w:space="0" w:color="auto"/>
              <w:bottom w:val="single" w:sz="12" w:space="0" w:color="auto"/>
              <w:right w:val="single" w:sz="12" w:space="0" w:color="auto"/>
            </w:tcBorders>
            <w:shd w:val="clear" w:color="auto" w:fill="D0CECE"/>
          </w:tcPr>
          <w:p w14:paraId="2D51EEC6" w14:textId="77777777" w:rsidR="00382AE3" w:rsidRPr="00D07E60" w:rsidRDefault="004459A8" w:rsidP="004459A8">
            <w:pPr>
              <w:jc w:val="center"/>
              <w:rPr>
                <w:b/>
              </w:rPr>
            </w:pPr>
            <w:r w:rsidRPr="00D07E60">
              <w:rPr>
                <w:b/>
              </w:rPr>
              <w:t>3</w:t>
            </w:r>
          </w:p>
        </w:tc>
      </w:tr>
    </w:tbl>
    <w:p w14:paraId="2D51EEC8" w14:textId="7246C60C" w:rsidR="006A670C" w:rsidRDefault="006A670C" w:rsidP="0031751C"/>
    <w:p w14:paraId="20289DB7" w14:textId="23CEFD14" w:rsidR="005727B7" w:rsidRDefault="005727B7" w:rsidP="004D1D28">
      <w:pPr>
        <w:ind w:firstLine="227"/>
      </w:pPr>
      <w:r w:rsidRPr="00193994">
        <w:t>Ver</w:t>
      </w:r>
      <w:r>
        <w:t>andering sinds 2015:</w:t>
      </w:r>
      <w:r w:rsidR="00915FE5">
        <w:t xml:space="preserve"> neutraal</w:t>
      </w:r>
      <w:r w:rsidR="00915FE5" w:rsidRPr="00193994">
        <w:t xml:space="preserve"> = </w:t>
      </w:r>
      <w:r w:rsidR="00915FE5" w:rsidRPr="00193994">
        <w:sym w:font="Wingdings" w:char="F0E8"/>
      </w:r>
    </w:p>
    <w:p w14:paraId="56CFA93A" w14:textId="77777777" w:rsidR="00F91F5E" w:rsidRPr="008517DE" w:rsidRDefault="00F91F5E" w:rsidP="004D1D28">
      <w:pPr>
        <w:ind w:firstLine="227"/>
      </w:pPr>
    </w:p>
    <w:p w14:paraId="2D51EEC9" w14:textId="77777777" w:rsidR="00DE343C" w:rsidRPr="004D372F" w:rsidRDefault="00344A07" w:rsidP="004D372F">
      <w:pPr>
        <w:pStyle w:val="Heading2"/>
        <w:tabs>
          <w:tab w:val="left" w:pos="-1162"/>
          <w:tab w:val="left" w:pos="0"/>
          <w:tab w:val="num" w:pos="1160"/>
        </w:tabs>
        <w:spacing w:line="240" w:lineRule="auto"/>
        <w:ind w:hanging="1162"/>
      </w:pPr>
      <w:bookmarkStart w:id="39" w:name="_Toc491260359"/>
      <w:r>
        <w:t>4</w:t>
      </w:r>
      <w:r w:rsidR="000A22CF">
        <w:t>.</w:t>
      </w:r>
      <w:r w:rsidR="00382AE3">
        <w:t>9</w:t>
      </w:r>
      <w:r w:rsidR="004D372F" w:rsidRPr="004D372F">
        <w:t xml:space="preserve"> </w:t>
      </w:r>
      <w:r w:rsidR="004D372F">
        <w:tab/>
      </w:r>
      <w:r w:rsidR="00DE343C" w:rsidRPr="004D372F">
        <w:t>Corruptiebestrijding</w:t>
      </w:r>
      <w:bookmarkEnd w:id="39"/>
      <w:r w:rsidR="000F53BE">
        <w:t xml:space="preserve"> </w:t>
      </w:r>
    </w:p>
    <w:p w14:paraId="2D51EECB" w14:textId="54A2725C" w:rsidR="00C15361" w:rsidRDefault="00C15361" w:rsidP="000D0473">
      <w:r>
        <w:t xml:space="preserve">De laatste update van </w:t>
      </w:r>
      <w:proofErr w:type="spellStart"/>
      <w:r>
        <w:t>WFP’s</w:t>
      </w:r>
      <w:proofErr w:type="spellEnd"/>
      <w:r>
        <w:t xml:space="preserve"> fraude en corruptiebestrijdingsbeleid dateert uit juni 2015</w:t>
      </w:r>
      <w:r w:rsidR="00FC6C48">
        <w:t xml:space="preserve">. Het kantoor van de </w:t>
      </w:r>
      <w:proofErr w:type="spellStart"/>
      <w:r w:rsidR="00FC6C48" w:rsidRPr="00FC6C48">
        <w:rPr>
          <w:i/>
        </w:rPr>
        <w:t>Inspector</w:t>
      </w:r>
      <w:proofErr w:type="spellEnd"/>
      <w:r w:rsidR="00FC6C48" w:rsidRPr="00FC6C48">
        <w:rPr>
          <w:i/>
        </w:rPr>
        <w:t xml:space="preserve"> General </w:t>
      </w:r>
      <w:proofErr w:type="spellStart"/>
      <w:r w:rsidR="00FC6C48" w:rsidRPr="00FC6C48">
        <w:rPr>
          <w:i/>
        </w:rPr>
        <w:t>and</w:t>
      </w:r>
      <w:proofErr w:type="spellEnd"/>
      <w:r w:rsidR="00FC6C48" w:rsidRPr="00FC6C48">
        <w:rPr>
          <w:i/>
        </w:rPr>
        <w:t xml:space="preserve"> </w:t>
      </w:r>
      <w:proofErr w:type="spellStart"/>
      <w:r w:rsidR="00FC6C48" w:rsidRPr="00FC6C48">
        <w:rPr>
          <w:i/>
        </w:rPr>
        <w:t>Oversight</w:t>
      </w:r>
      <w:proofErr w:type="spellEnd"/>
      <w:r w:rsidR="00A329BF">
        <w:rPr>
          <w:i/>
        </w:rPr>
        <w:t xml:space="preserve"> (OIG)</w:t>
      </w:r>
      <w:r w:rsidR="00FC6C48">
        <w:t xml:space="preserve"> levert </w:t>
      </w:r>
      <w:proofErr w:type="spellStart"/>
      <w:r w:rsidR="00FC6C48">
        <w:t>WFP’s</w:t>
      </w:r>
      <w:proofErr w:type="spellEnd"/>
      <w:r w:rsidR="00FC6C48">
        <w:t xml:space="preserve"> onafhankelijke audit, inspectie, onderzoek en adviesfuncties. De rollen van de verschillende onderdelen zijn duidelijk vastgelegd. </w:t>
      </w:r>
      <w:r w:rsidR="0065354F">
        <w:t xml:space="preserve">Centraal staat de </w:t>
      </w:r>
      <w:r w:rsidR="0065354F" w:rsidRPr="0065354F">
        <w:rPr>
          <w:i/>
        </w:rPr>
        <w:t xml:space="preserve">zero </w:t>
      </w:r>
      <w:proofErr w:type="spellStart"/>
      <w:r w:rsidR="0065354F" w:rsidRPr="0065354F">
        <w:rPr>
          <w:i/>
        </w:rPr>
        <w:t>tolerance</w:t>
      </w:r>
      <w:proofErr w:type="spellEnd"/>
      <w:r w:rsidR="0065354F">
        <w:t xml:space="preserve"> die WFP naleeft op fraude en corruptie. </w:t>
      </w:r>
      <w:r w:rsidR="0065354F" w:rsidRPr="008A69F2">
        <w:t xml:space="preserve">Daarnaast is er een </w:t>
      </w:r>
      <w:r w:rsidR="0065354F" w:rsidRPr="008A69F2">
        <w:rPr>
          <w:i/>
        </w:rPr>
        <w:t>Enterprise Risk Management Policy</w:t>
      </w:r>
      <w:r w:rsidR="0065354F" w:rsidRPr="008A69F2">
        <w:t xml:space="preserve"> op basis waarvan alle WFP-onderdelen (landenkantoren, regionale bureaus, afdelingen op hoofd</w:t>
      </w:r>
      <w:r w:rsidR="00C852C7">
        <w:t>kantoor</w:t>
      </w:r>
      <w:r w:rsidR="0065354F" w:rsidRPr="008A69F2">
        <w:t>niveau) de risico’s voor hun personeel en activiteiten evalueren, waaronder corruptie.</w:t>
      </w:r>
    </w:p>
    <w:p w14:paraId="2D51EECC" w14:textId="77777777" w:rsidR="00F50215" w:rsidRDefault="00F50215" w:rsidP="000D0473"/>
    <w:p w14:paraId="2D51EECD" w14:textId="770A168D" w:rsidR="0065354F" w:rsidRDefault="0065354F" w:rsidP="000D0473">
      <w:r w:rsidRPr="008A69F2">
        <w:t xml:space="preserve">WFP werkt met interne controles (waaronder de interne audit) om rechtmatigheids- en doelmatigheidsrisico’s af te dekken. </w:t>
      </w:r>
      <w:r>
        <w:t>Bij eventuele</w:t>
      </w:r>
      <w:r w:rsidR="00F50215" w:rsidRPr="008A69F2">
        <w:t xml:space="preserve"> aanwijzingen voor fraude </w:t>
      </w:r>
      <w:r>
        <w:t xml:space="preserve">wordt gerapporteerd </w:t>
      </w:r>
      <w:r w:rsidR="00F50215" w:rsidRPr="008A69F2">
        <w:t xml:space="preserve">aan de </w:t>
      </w:r>
      <w:r>
        <w:t>o</w:t>
      </w:r>
      <w:r w:rsidR="00F50215" w:rsidRPr="008A69F2">
        <w:t>nderzoek</w:t>
      </w:r>
      <w:r>
        <w:t>safdeling</w:t>
      </w:r>
      <w:r w:rsidR="00F50215" w:rsidRPr="008A69F2">
        <w:t>. Bij daadwerkelijke gevallen van corruptie reageert WFP direct en zonder reserves</w:t>
      </w:r>
      <w:r w:rsidR="00F50215">
        <w:t>,</w:t>
      </w:r>
      <w:r w:rsidR="00F50215" w:rsidRPr="008A69F2">
        <w:t xml:space="preserve"> is in de praktijk gebleken. WFP opereert van nature vaak in zeer moeilijke omstandigheden. </w:t>
      </w:r>
      <w:r w:rsidR="00A329BF">
        <w:t xml:space="preserve">In de laatste beleidsupdate was daarom extra aandacht voor de richtlijnen en formuleringen van de contracten met </w:t>
      </w:r>
      <w:proofErr w:type="spellStart"/>
      <w:r w:rsidR="00A329BF" w:rsidRPr="00D53EB3">
        <w:rPr>
          <w:i/>
        </w:rPr>
        <w:t>implementing</w:t>
      </w:r>
      <w:proofErr w:type="spellEnd"/>
      <w:r w:rsidR="00A329BF" w:rsidRPr="00D53EB3">
        <w:rPr>
          <w:i/>
        </w:rPr>
        <w:t xml:space="preserve"> partners</w:t>
      </w:r>
      <w:r w:rsidR="00A329BF">
        <w:t xml:space="preserve"> en leveranciers. De </w:t>
      </w:r>
      <w:r w:rsidR="00F50215" w:rsidRPr="008A69F2">
        <w:t>verlie</w:t>
      </w:r>
      <w:r w:rsidR="00A329BF">
        <w:t>zen</w:t>
      </w:r>
      <w:r w:rsidR="00F50215" w:rsidRPr="008A69F2">
        <w:t xml:space="preserve"> </w:t>
      </w:r>
      <w:r w:rsidR="00A329BF">
        <w:t xml:space="preserve">zijn </w:t>
      </w:r>
      <w:r w:rsidR="00F50215" w:rsidRPr="008A69F2">
        <w:t xml:space="preserve">heel laag </w:t>
      </w:r>
      <w:r w:rsidR="00A329BF">
        <w:t>met in acht neming van de</w:t>
      </w:r>
      <w:r w:rsidR="00F50215" w:rsidRPr="008A69F2">
        <w:t xml:space="preserve"> omstandigheden.</w:t>
      </w:r>
      <w:r w:rsidR="00F50215">
        <w:t xml:space="preserve"> </w:t>
      </w:r>
    </w:p>
    <w:p w14:paraId="2D51EECE" w14:textId="77777777" w:rsidR="0065354F" w:rsidRDefault="0065354F" w:rsidP="000D0473"/>
    <w:p w14:paraId="2D51EECF" w14:textId="00BF392F" w:rsidR="00F50215" w:rsidRPr="00312B8D" w:rsidRDefault="00A329BF" w:rsidP="000D0473">
      <w:r>
        <w:lastRenderedPageBreak/>
        <w:t xml:space="preserve">Het OIG rapporteert jaarlijks formeel aan de Uitvoerende Raad en rapporteert ook regelmatig aan de Executive Director. </w:t>
      </w:r>
      <w:r w:rsidR="001E3886">
        <w:t xml:space="preserve">Rapporten van inspecties zijn online beschikbaar. </w:t>
      </w:r>
      <w:r w:rsidR="00F50215">
        <w:t>In zijn rapport over 201</w:t>
      </w:r>
      <w:r w:rsidR="00AB290D">
        <w:t>5</w:t>
      </w:r>
      <w:r w:rsidR="00F50215">
        <w:t xml:space="preserve"> vond de </w:t>
      </w:r>
      <w:proofErr w:type="spellStart"/>
      <w:r w:rsidR="00F50215" w:rsidRPr="003B6586">
        <w:rPr>
          <w:i/>
        </w:rPr>
        <w:t>Inspector</w:t>
      </w:r>
      <w:proofErr w:type="spellEnd"/>
      <w:r w:rsidR="00F50215" w:rsidRPr="003B6586">
        <w:rPr>
          <w:i/>
        </w:rPr>
        <w:t>-General</w:t>
      </w:r>
      <w:r w:rsidR="00F50215">
        <w:t xml:space="preserve"> geen significante zwaktes in het beleid of de praktijk van WFP. Weliswaar werd in 2014 voor USD </w:t>
      </w:r>
      <w:r w:rsidR="00C172C2">
        <w:t xml:space="preserve">1,2 miljoen </w:t>
      </w:r>
      <w:r w:rsidR="00F50215">
        <w:t xml:space="preserve">aan </w:t>
      </w:r>
      <w:r w:rsidR="00C172C2">
        <w:t>verliezen</w:t>
      </w:r>
      <w:r w:rsidR="00F50215">
        <w:t xml:space="preserve"> geconstateerd, maar dit betreft slechts </w:t>
      </w:r>
      <w:r w:rsidR="00C172C2">
        <w:t xml:space="preserve">een </w:t>
      </w:r>
      <w:r w:rsidR="00C852C7">
        <w:t xml:space="preserve">klein </w:t>
      </w:r>
      <w:r w:rsidR="00C172C2">
        <w:t xml:space="preserve">percentage </w:t>
      </w:r>
      <w:r w:rsidR="00F50215">
        <w:t>van het totale budget van WFP</w:t>
      </w:r>
      <w:r w:rsidR="00C172C2">
        <w:t xml:space="preserve">. </w:t>
      </w:r>
      <w:r w:rsidR="00F50215">
        <w:t xml:space="preserve">De </w:t>
      </w:r>
      <w:proofErr w:type="spellStart"/>
      <w:r w:rsidR="00F50215" w:rsidRPr="003B6586">
        <w:rPr>
          <w:i/>
        </w:rPr>
        <w:t>Inspector</w:t>
      </w:r>
      <w:proofErr w:type="spellEnd"/>
      <w:r w:rsidR="00F50215" w:rsidRPr="003B6586">
        <w:rPr>
          <w:i/>
        </w:rPr>
        <w:t>-General</w:t>
      </w:r>
      <w:r w:rsidR="00F50215">
        <w:t xml:space="preserve"> stelt verder dat de procedures om fraude op te sporen het afgelopen nog verder verbeterd zijn.</w:t>
      </w:r>
    </w:p>
    <w:p w14:paraId="2D51EED0" w14:textId="77777777" w:rsidR="00F50215" w:rsidRPr="008A69F2" w:rsidRDefault="00F50215" w:rsidP="000D0473"/>
    <w:p w14:paraId="2D51EED1" w14:textId="706C228A" w:rsidR="00C172C2" w:rsidRDefault="00FC6C48" w:rsidP="000D0473">
      <w:r w:rsidRPr="00312B8D">
        <w:t xml:space="preserve">Sinds 2008 heeft WFP een </w:t>
      </w:r>
      <w:proofErr w:type="spellStart"/>
      <w:r w:rsidRPr="00312B8D">
        <w:rPr>
          <w:i/>
        </w:rPr>
        <w:t>Ethics</w:t>
      </w:r>
      <w:proofErr w:type="spellEnd"/>
      <w:r w:rsidRPr="00312B8D">
        <w:rPr>
          <w:i/>
        </w:rPr>
        <w:t xml:space="preserve"> Office</w:t>
      </w:r>
      <w:r w:rsidRPr="00312B8D">
        <w:t xml:space="preserve"> met een drieledig doel: </w:t>
      </w:r>
      <w:r w:rsidR="00C852C7">
        <w:t xml:space="preserve">(1) </w:t>
      </w:r>
      <w:r w:rsidRPr="00312B8D">
        <w:t>het uitvoeren van het beschermingsprogramma voor klokkenluiders</w:t>
      </w:r>
      <w:r>
        <w:t>,</w:t>
      </w:r>
      <w:r w:rsidRPr="00312B8D">
        <w:t xml:space="preserve"> </w:t>
      </w:r>
      <w:r w:rsidR="00C852C7">
        <w:t xml:space="preserve">(2) </w:t>
      </w:r>
      <w:r w:rsidRPr="00312B8D">
        <w:t xml:space="preserve">het opzetten van een </w:t>
      </w:r>
      <w:r w:rsidRPr="00312B8D">
        <w:rPr>
          <w:i/>
        </w:rPr>
        <w:t xml:space="preserve">financial </w:t>
      </w:r>
      <w:proofErr w:type="spellStart"/>
      <w:r w:rsidRPr="00312B8D">
        <w:rPr>
          <w:i/>
        </w:rPr>
        <w:t>disclosure</w:t>
      </w:r>
      <w:proofErr w:type="spellEnd"/>
      <w:r w:rsidRPr="00312B8D">
        <w:t xml:space="preserve"> programma en </w:t>
      </w:r>
      <w:r w:rsidR="00C852C7">
        <w:t xml:space="preserve">(3) </w:t>
      </w:r>
      <w:r w:rsidRPr="00312B8D">
        <w:t>het geven van advies en bijstand aan personeel en management inzake ethische kwesties en mogelijke belangenverstrengeling.</w:t>
      </w:r>
      <w:r>
        <w:t xml:space="preserve"> </w:t>
      </w:r>
      <w:r w:rsidR="00C172C2" w:rsidRPr="008A69F2">
        <w:t xml:space="preserve">Om melding van fraude en corruptie te vergemakkelijken heeft WFP een vertrouwelijke </w:t>
      </w:r>
      <w:r w:rsidR="00C172C2" w:rsidRPr="008A69F2">
        <w:rPr>
          <w:i/>
        </w:rPr>
        <w:t>hotline</w:t>
      </w:r>
      <w:r w:rsidR="00C172C2" w:rsidRPr="008A69F2">
        <w:t xml:space="preserve"> voor het personeel ingesteld. </w:t>
      </w:r>
    </w:p>
    <w:p w14:paraId="2D51EED2" w14:textId="77777777" w:rsidR="000A22CF" w:rsidRDefault="000A22CF" w:rsidP="000A22CF"/>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63"/>
        <w:gridCol w:w="949"/>
      </w:tblGrid>
      <w:tr w:rsidR="002A310E" w:rsidRPr="00EA0AA8" w14:paraId="2D51EED5" w14:textId="77777777" w:rsidTr="00915FE5">
        <w:tc>
          <w:tcPr>
            <w:tcW w:w="6763" w:type="dxa"/>
            <w:tcBorders>
              <w:top w:val="single" w:sz="12" w:space="0" w:color="auto"/>
              <w:left w:val="single" w:sz="12" w:space="0" w:color="auto"/>
              <w:bottom w:val="single" w:sz="12" w:space="0" w:color="auto"/>
            </w:tcBorders>
            <w:shd w:val="clear" w:color="auto" w:fill="D0CECE"/>
          </w:tcPr>
          <w:p w14:paraId="2D51EED3" w14:textId="77777777" w:rsidR="002A310E" w:rsidRPr="00EA0AA8" w:rsidRDefault="002A310E" w:rsidP="00382AE3">
            <w:pPr>
              <w:rPr>
                <w:b/>
              </w:rPr>
            </w:pPr>
            <w:r w:rsidRPr="00EA0AA8">
              <w:rPr>
                <w:b/>
              </w:rPr>
              <w:t>Onderdeel</w:t>
            </w:r>
          </w:p>
        </w:tc>
        <w:tc>
          <w:tcPr>
            <w:tcW w:w="949" w:type="dxa"/>
            <w:tcBorders>
              <w:top w:val="single" w:sz="12" w:space="0" w:color="auto"/>
              <w:bottom w:val="single" w:sz="12" w:space="0" w:color="auto"/>
              <w:right w:val="single" w:sz="12" w:space="0" w:color="auto"/>
            </w:tcBorders>
            <w:shd w:val="clear" w:color="auto" w:fill="D0CECE"/>
          </w:tcPr>
          <w:p w14:paraId="2D51EED4" w14:textId="77777777" w:rsidR="002A310E" w:rsidRPr="00EA0AA8" w:rsidRDefault="002A310E" w:rsidP="00382AE3">
            <w:pPr>
              <w:rPr>
                <w:b/>
              </w:rPr>
            </w:pPr>
            <w:r w:rsidRPr="00EA0AA8">
              <w:rPr>
                <w:b/>
              </w:rPr>
              <w:t>Score</w:t>
            </w:r>
          </w:p>
        </w:tc>
      </w:tr>
      <w:tr w:rsidR="002A310E" w14:paraId="2D51EED8" w14:textId="77777777" w:rsidTr="00915FE5">
        <w:tc>
          <w:tcPr>
            <w:tcW w:w="6763" w:type="dxa"/>
            <w:tcBorders>
              <w:top w:val="single" w:sz="12" w:space="0" w:color="auto"/>
              <w:left w:val="single" w:sz="12" w:space="0" w:color="auto"/>
            </w:tcBorders>
            <w:shd w:val="clear" w:color="auto" w:fill="auto"/>
          </w:tcPr>
          <w:p w14:paraId="2D51EED6" w14:textId="77777777" w:rsidR="002A310E" w:rsidRDefault="000F53BE" w:rsidP="00382AE3">
            <w:r>
              <w:t>Maatregelen rechtmatigheidsrisico’s</w:t>
            </w:r>
          </w:p>
        </w:tc>
        <w:tc>
          <w:tcPr>
            <w:tcW w:w="949" w:type="dxa"/>
            <w:tcBorders>
              <w:top w:val="single" w:sz="12" w:space="0" w:color="auto"/>
              <w:right w:val="single" w:sz="12" w:space="0" w:color="auto"/>
            </w:tcBorders>
            <w:shd w:val="clear" w:color="auto" w:fill="auto"/>
          </w:tcPr>
          <w:p w14:paraId="2D51EED7" w14:textId="77777777" w:rsidR="002A310E" w:rsidRDefault="00745CD3" w:rsidP="00745CD3">
            <w:pPr>
              <w:jc w:val="center"/>
            </w:pPr>
            <w:r>
              <w:t>3</w:t>
            </w:r>
          </w:p>
        </w:tc>
      </w:tr>
      <w:tr w:rsidR="002A310E" w14:paraId="2D51EEDB" w14:textId="77777777" w:rsidTr="00915FE5">
        <w:tc>
          <w:tcPr>
            <w:tcW w:w="6763" w:type="dxa"/>
            <w:tcBorders>
              <w:left w:val="single" w:sz="12" w:space="0" w:color="auto"/>
            </w:tcBorders>
            <w:shd w:val="clear" w:color="auto" w:fill="auto"/>
          </w:tcPr>
          <w:p w14:paraId="2D51EED9" w14:textId="77777777" w:rsidR="002A310E" w:rsidRDefault="000F53BE" w:rsidP="00382AE3">
            <w:r>
              <w:t>Maatregelen doelmatigheidsrisico’s</w:t>
            </w:r>
          </w:p>
        </w:tc>
        <w:tc>
          <w:tcPr>
            <w:tcW w:w="949" w:type="dxa"/>
            <w:tcBorders>
              <w:right w:val="single" w:sz="12" w:space="0" w:color="auto"/>
            </w:tcBorders>
            <w:shd w:val="clear" w:color="auto" w:fill="auto"/>
          </w:tcPr>
          <w:p w14:paraId="2D51EEDA" w14:textId="77777777" w:rsidR="002A310E" w:rsidRDefault="00745CD3" w:rsidP="00745CD3">
            <w:pPr>
              <w:jc w:val="center"/>
            </w:pPr>
            <w:r>
              <w:t>3</w:t>
            </w:r>
          </w:p>
        </w:tc>
      </w:tr>
      <w:tr w:rsidR="002A310E" w14:paraId="2D51EEDE" w14:textId="77777777" w:rsidTr="00915FE5">
        <w:tc>
          <w:tcPr>
            <w:tcW w:w="6763" w:type="dxa"/>
            <w:tcBorders>
              <w:left w:val="single" w:sz="12" w:space="0" w:color="auto"/>
            </w:tcBorders>
            <w:shd w:val="clear" w:color="auto" w:fill="auto"/>
          </w:tcPr>
          <w:p w14:paraId="2D51EEDC" w14:textId="77777777" w:rsidR="002A310E" w:rsidRDefault="000F53BE" w:rsidP="000F53BE">
            <w:r>
              <w:t xml:space="preserve">Anti-corruptiebeleid </w:t>
            </w:r>
          </w:p>
        </w:tc>
        <w:tc>
          <w:tcPr>
            <w:tcW w:w="949" w:type="dxa"/>
            <w:tcBorders>
              <w:right w:val="single" w:sz="12" w:space="0" w:color="auto"/>
            </w:tcBorders>
            <w:shd w:val="clear" w:color="auto" w:fill="auto"/>
          </w:tcPr>
          <w:p w14:paraId="2D51EEDD" w14:textId="77777777" w:rsidR="002A310E" w:rsidRDefault="00745CD3" w:rsidP="00745CD3">
            <w:pPr>
              <w:jc w:val="center"/>
            </w:pPr>
            <w:r>
              <w:t>4</w:t>
            </w:r>
          </w:p>
        </w:tc>
      </w:tr>
      <w:tr w:rsidR="000F53BE" w14:paraId="2D51EEE1" w14:textId="77777777" w:rsidTr="00915FE5">
        <w:tc>
          <w:tcPr>
            <w:tcW w:w="6763" w:type="dxa"/>
            <w:tcBorders>
              <w:left w:val="single" w:sz="12" w:space="0" w:color="auto"/>
            </w:tcBorders>
            <w:shd w:val="clear" w:color="auto" w:fill="auto"/>
          </w:tcPr>
          <w:p w14:paraId="2D51EEDF" w14:textId="77777777" w:rsidR="000F53BE" w:rsidRDefault="000F53BE" w:rsidP="00382AE3">
            <w:r>
              <w:t>Transparantie integriteitsschendingen</w:t>
            </w:r>
          </w:p>
        </w:tc>
        <w:tc>
          <w:tcPr>
            <w:tcW w:w="949" w:type="dxa"/>
            <w:tcBorders>
              <w:right w:val="single" w:sz="12" w:space="0" w:color="auto"/>
            </w:tcBorders>
            <w:shd w:val="clear" w:color="auto" w:fill="auto"/>
          </w:tcPr>
          <w:p w14:paraId="2D51EEE0" w14:textId="77777777" w:rsidR="000F53BE" w:rsidRDefault="00745CD3" w:rsidP="00745CD3">
            <w:pPr>
              <w:jc w:val="center"/>
            </w:pPr>
            <w:r>
              <w:t>4</w:t>
            </w:r>
          </w:p>
        </w:tc>
      </w:tr>
      <w:tr w:rsidR="002A310E" w:rsidRPr="00EA0AA8" w14:paraId="2D51EEE4" w14:textId="77777777" w:rsidTr="00915FE5">
        <w:tc>
          <w:tcPr>
            <w:tcW w:w="6763" w:type="dxa"/>
            <w:tcBorders>
              <w:top w:val="single" w:sz="12" w:space="0" w:color="auto"/>
              <w:left w:val="single" w:sz="12" w:space="0" w:color="auto"/>
              <w:bottom w:val="single" w:sz="12" w:space="0" w:color="auto"/>
            </w:tcBorders>
            <w:shd w:val="clear" w:color="auto" w:fill="D0CECE"/>
          </w:tcPr>
          <w:p w14:paraId="2D51EEE2" w14:textId="77777777" w:rsidR="002A310E" w:rsidRPr="00EA0AA8" w:rsidRDefault="002A310E" w:rsidP="00382AE3">
            <w:pPr>
              <w:rPr>
                <w:b/>
              </w:rPr>
            </w:pPr>
            <w:r w:rsidRPr="00F313B0">
              <w:rPr>
                <w:b/>
              </w:rPr>
              <w:t>TOTAAL</w:t>
            </w:r>
          </w:p>
        </w:tc>
        <w:tc>
          <w:tcPr>
            <w:tcW w:w="949" w:type="dxa"/>
            <w:tcBorders>
              <w:top w:val="single" w:sz="12" w:space="0" w:color="auto"/>
              <w:bottom w:val="single" w:sz="12" w:space="0" w:color="auto"/>
              <w:right w:val="single" w:sz="12" w:space="0" w:color="auto"/>
            </w:tcBorders>
            <w:shd w:val="clear" w:color="auto" w:fill="D0CECE"/>
          </w:tcPr>
          <w:p w14:paraId="2D51EEE3" w14:textId="77777777" w:rsidR="002A310E" w:rsidRPr="00EA0AA8" w:rsidRDefault="00100633" w:rsidP="00100633">
            <w:pPr>
              <w:jc w:val="center"/>
              <w:rPr>
                <w:b/>
              </w:rPr>
            </w:pPr>
            <w:r>
              <w:rPr>
                <w:b/>
              </w:rPr>
              <w:t>4</w:t>
            </w:r>
          </w:p>
        </w:tc>
      </w:tr>
    </w:tbl>
    <w:p w14:paraId="27772ADB" w14:textId="77777777" w:rsidR="00D07E60" w:rsidRDefault="00D07E60" w:rsidP="00D07E60"/>
    <w:p w14:paraId="33255849" w14:textId="5B60B11A" w:rsidR="005727B7" w:rsidRDefault="005727B7" w:rsidP="00D07E60">
      <w:pPr>
        <w:ind w:firstLine="227"/>
      </w:pPr>
      <w:r w:rsidRPr="00193994">
        <w:t>Verandering</w:t>
      </w:r>
      <w:r>
        <w:t xml:space="preserve"> sinds 2015: neutraal</w:t>
      </w:r>
      <w:r w:rsidRPr="00193994">
        <w:t xml:space="preserve"> = </w:t>
      </w:r>
      <w:r w:rsidRPr="00193994">
        <w:sym w:font="Wingdings" w:char="F0E8"/>
      </w:r>
    </w:p>
    <w:p w14:paraId="2D51EEE9" w14:textId="388BF1D1" w:rsidR="00C852C7" w:rsidRDefault="004D1D28" w:rsidP="00E20A86">
      <w:r>
        <w:tab/>
      </w:r>
    </w:p>
    <w:p w14:paraId="2D51EEEA" w14:textId="0ADAA794" w:rsidR="00CF5E16" w:rsidRDefault="00344A07" w:rsidP="000D0473">
      <w:pPr>
        <w:pStyle w:val="Heading1"/>
        <w:tabs>
          <w:tab w:val="num" w:pos="0"/>
        </w:tabs>
        <w:spacing w:after="240" w:line="240" w:lineRule="auto"/>
        <w:ind w:hanging="1162"/>
      </w:pPr>
      <w:bookmarkStart w:id="40" w:name="_Toc491260360"/>
      <w:r>
        <w:lastRenderedPageBreak/>
        <w:t>5</w:t>
      </w:r>
      <w:r w:rsidR="004D372F">
        <w:t xml:space="preserve"> </w:t>
      </w:r>
      <w:r w:rsidR="004D372F">
        <w:tab/>
      </w:r>
      <w:bookmarkStart w:id="41" w:name="_Toc348364679"/>
      <w:r w:rsidR="008409AE">
        <w:t>R</w:t>
      </w:r>
      <w:r w:rsidR="009534EF">
        <w:t>elevantie van de organisatie</w:t>
      </w:r>
      <w:bookmarkEnd w:id="41"/>
      <w:bookmarkEnd w:id="40"/>
    </w:p>
    <w:p w14:paraId="015B8667" w14:textId="088CE7C3" w:rsidR="0079799C" w:rsidRDefault="0079799C" w:rsidP="000D0473">
      <w:r>
        <w:t>Dit hoofdstuk behandelt de relevantie van de organisatie voor de Nederlandse BHOS-prioriteiten. Hierbij wordt een driedeling gemaakt: een organisatie is relevant voor een BHOS-thema indien van direct belang voor een beleidsonderwerp, een organisatie is beperkt relevant als hij deels of indirect van belang is voor het beleidsonderwerp of een organisatie is niet relevant als hij niet van belang is voor het beleidsonderwerp. Ten aanzien van het thema gender geldt dat een organisatie ook als relevant is aangemerkt wanneer het gender in substantiële mate toepast als dwarsdoorsnijdend thema. Het presteren van de organisatie op de relevante thema’s wordt vervolgens gescoord op uitvoerende, normerende of coördinerende activiteiten op dat thema.</w:t>
      </w:r>
    </w:p>
    <w:p w14:paraId="20A3D78B" w14:textId="77777777" w:rsidR="00D223FF" w:rsidRPr="0079799C" w:rsidRDefault="00D223FF" w:rsidP="000D0473"/>
    <w:p w14:paraId="2D51EEEB" w14:textId="77777777" w:rsidR="0027051F" w:rsidRPr="004D372F" w:rsidRDefault="00344A07" w:rsidP="000D0473">
      <w:pPr>
        <w:pStyle w:val="Heading2"/>
        <w:tabs>
          <w:tab w:val="left" w:pos="-1162"/>
          <w:tab w:val="left" w:pos="0"/>
        </w:tabs>
        <w:spacing w:line="240" w:lineRule="auto"/>
        <w:ind w:hanging="1134"/>
      </w:pPr>
      <w:bookmarkStart w:id="42" w:name="_Toc491260361"/>
      <w:r>
        <w:t>5</w:t>
      </w:r>
      <w:r w:rsidR="0027051F">
        <w:t xml:space="preserve">.1 </w:t>
      </w:r>
      <w:r w:rsidR="0008255C">
        <w:tab/>
      </w:r>
      <w:r w:rsidR="0027051F">
        <w:t>Relevantie voor Nederlandse BHOS-prioriteiten</w:t>
      </w:r>
      <w:bookmarkEnd w:id="42"/>
    </w:p>
    <w:p w14:paraId="0D0BE2A8" w14:textId="77777777" w:rsidR="00BC5562" w:rsidRPr="00BC5562" w:rsidRDefault="00BC5562" w:rsidP="000D0473">
      <w:pPr>
        <w:rPr>
          <w:u w:val="single"/>
        </w:rPr>
      </w:pPr>
      <w:r w:rsidRPr="00BC5562">
        <w:rPr>
          <w:iCs/>
          <w:u w:val="single"/>
        </w:rPr>
        <w:t>Voedselzekerheid</w:t>
      </w:r>
      <w:r w:rsidR="00ED7830" w:rsidRPr="00BC5562">
        <w:rPr>
          <w:iCs/>
          <w:u w:val="single"/>
        </w:rPr>
        <w:t xml:space="preserve"> </w:t>
      </w:r>
    </w:p>
    <w:p w14:paraId="2D51EEEE" w14:textId="0662B853" w:rsidR="00ED7830" w:rsidRPr="00FE5448" w:rsidRDefault="00730353" w:rsidP="000D0473">
      <w:r w:rsidRPr="00BC5562">
        <w:rPr>
          <w:i/>
        </w:rPr>
        <w:t>Relevant</w:t>
      </w:r>
      <w:r w:rsidR="00D85AA5">
        <w:rPr>
          <w:i/>
        </w:rPr>
        <w:t xml:space="preserve">. </w:t>
      </w:r>
      <w:r w:rsidR="00ED7830">
        <w:t xml:space="preserve">SDG 2 staat centraal in het mandaat van WFP. Dat is volledig </w:t>
      </w:r>
      <w:r w:rsidR="00C852C7">
        <w:t xml:space="preserve">in overeenstemming met </w:t>
      </w:r>
      <w:r w:rsidR="007A7E45">
        <w:t>de</w:t>
      </w:r>
      <w:r w:rsidR="00ED7830">
        <w:t xml:space="preserve"> BHOS prioriteit voedselzekerheid. </w:t>
      </w:r>
      <w:r w:rsidR="00ED7830" w:rsidRPr="00FE5448">
        <w:t>Door het bieden van humanitaire hulp in situaties van acute en structurele hongersnood</w:t>
      </w:r>
      <w:r w:rsidR="00ED7830">
        <w:t xml:space="preserve">, maar </w:t>
      </w:r>
      <w:r w:rsidR="00ED7830" w:rsidRPr="00FE5448">
        <w:t xml:space="preserve">ook door het adresseren van </w:t>
      </w:r>
      <w:r w:rsidR="00ED7830">
        <w:t xml:space="preserve">ondervoeding </w:t>
      </w:r>
      <w:r w:rsidR="00ED7830" w:rsidRPr="00FE5448">
        <w:t>in landen waarin de overheid daartoe onvoldoende in staat is</w:t>
      </w:r>
      <w:r w:rsidR="00ED7830">
        <w:t>, geeft WFP hier invulling aan</w:t>
      </w:r>
      <w:r w:rsidR="00ED7830" w:rsidRPr="00FE5448">
        <w:t xml:space="preserve">. WFP </w:t>
      </w:r>
      <w:r w:rsidR="00ED7830">
        <w:t xml:space="preserve">speelt zo </w:t>
      </w:r>
      <w:r w:rsidR="00ED7830" w:rsidRPr="00FE5448">
        <w:t>een belangrij</w:t>
      </w:r>
      <w:r w:rsidR="00ED7830">
        <w:t>ke rol bij het opbouwen van</w:t>
      </w:r>
      <w:r w:rsidR="00ED7830" w:rsidRPr="00FE5448">
        <w:t xml:space="preserve"> weerbaarheid en veerkracht van de lokale bevo</w:t>
      </w:r>
      <w:r w:rsidR="00ED7830">
        <w:t>lking</w:t>
      </w:r>
      <w:r w:rsidR="00ED7830" w:rsidRPr="00FE5448">
        <w:t xml:space="preserve"> om het hoofd te kunnen bieden aan </w:t>
      </w:r>
      <w:r w:rsidR="00ED7830">
        <w:t xml:space="preserve">schokken. </w:t>
      </w:r>
      <w:r w:rsidR="00ED7830" w:rsidRPr="00FE5448">
        <w:t xml:space="preserve">WFP leidt samen met FAO het wereldwijde voedselzekerheidscluster en is ook in alle </w:t>
      </w:r>
      <w:proofErr w:type="spellStart"/>
      <w:r w:rsidR="00ED7830" w:rsidRPr="00BC5562">
        <w:rPr>
          <w:i/>
        </w:rPr>
        <w:t>Nutrition</w:t>
      </w:r>
      <w:proofErr w:type="spellEnd"/>
      <w:r w:rsidR="00ED7830" w:rsidRPr="00FE5448">
        <w:t>-fora sterk vertegenwoordigd.</w:t>
      </w:r>
    </w:p>
    <w:p w14:paraId="2D51EEF2" w14:textId="083BD6C5" w:rsidR="00ED7830" w:rsidRPr="00FE5448" w:rsidRDefault="00ED7830" w:rsidP="000D0473">
      <w:pPr>
        <w:rPr>
          <w:iCs/>
          <w:color w:val="8496B0" w:themeColor="text2" w:themeTint="99"/>
        </w:rPr>
      </w:pPr>
    </w:p>
    <w:p w14:paraId="45A3640A" w14:textId="5C53B4E3" w:rsidR="00D85AA5" w:rsidRPr="00D85AA5" w:rsidRDefault="00ED7830" w:rsidP="000D0473">
      <w:pPr>
        <w:rPr>
          <w:iCs/>
          <w:u w:val="single"/>
        </w:rPr>
      </w:pPr>
      <w:r w:rsidRPr="00D85AA5">
        <w:rPr>
          <w:iCs/>
          <w:u w:val="single"/>
        </w:rPr>
        <w:t xml:space="preserve">Veiligheid en </w:t>
      </w:r>
      <w:r w:rsidR="00C16DD0">
        <w:rPr>
          <w:iCs/>
          <w:u w:val="single"/>
        </w:rPr>
        <w:t>r</w:t>
      </w:r>
      <w:r w:rsidRPr="00D85AA5">
        <w:rPr>
          <w:iCs/>
          <w:u w:val="single"/>
        </w:rPr>
        <w:t>echtsorde</w:t>
      </w:r>
    </w:p>
    <w:p w14:paraId="2D51EEF4" w14:textId="58F7DFE5" w:rsidR="00ED7830" w:rsidRPr="00FE5448" w:rsidRDefault="00ED7830" w:rsidP="000D0473">
      <w:r w:rsidRPr="00D85AA5">
        <w:rPr>
          <w:i/>
        </w:rPr>
        <w:t>Beperkt relevant</w:t>
      </w:r>
      <w:r w:rsidR="00D85AA5">
        <w:rPr>
          <w:i/>
        </w:rPr>
        <w:t xml:space="preserve">. </w:t>
      </w:r>
      <w:r w:rsidRPr="00D85AA5">
        <w:rPr>
          <w:iCs/>
        </w:rPr>
        <w:t xml:space="preserve">WFP is voornamelijk werkzaam in fragiele staten en (post-) conflictsituaties. </w:t>
      </w:r>
      <w:r w:rsidRPr="00FE5448">
        <w:t xml:space="preserve">Het mandaat van WFP behelst zowel humanitaire hulp als wederopbouw, </w:t>
      </w:r>
      <w:r>
        <w:t xml:space="preserve">met </w:t>
      </w:r>
      <w:r w:rsidRPr="00FE5448">
        <w:t>het zwaartepun</w:t>
      </w:r>
      <w:r>
        <w:t>t op het humanitaire vlak</w:t>
      </w:r>
      <w:r w:rsidRPr="00D85AA5">
        <w:rPr>
          <w:i/>
        </w:rPr>
        <w:t>.</w:t>
      </w:r>
      <w:r>
        <w:t xml:space="preserve"> </w:t>
      </w:r>
      <w:r w:rsidRPr="00FE5448">
        <w:t>Programma’s waarmee WFP bijdraagt aan wederopbouw (na conflict) zijn o</w:t>
      </w:r>
      <w:r>
        <w:t>nder andere</w:t>
      </w:r>
      <w:r w:rsidRPr="00FE5448">
        <w:t xml:space="preserve"> </w:t>
      </w:r>
      <w:r w:rsidRPr="00D85AA5">
        <w:rPr>
          <w:i/>
        </w:rPr>
        <w:t xml:space="preserve">Food </w:t>
      </w:r>
      <w:proofErr w:type="spellStart"/>
      <w:r w:rsidRPr="00D85AA5">
        <w:rPr>
          <w:i/>
        </w:rPr>
        <w:t>for</w:t>
      </w:r>
      <w:proofErr w:type="spellEnd"/>
      <w:r w:rsidRPr="00D85AA5">
        <w:rPr>
          <w:i/>
        </w:rPr>
        <w:t xml:space="preserve"> </w:t>
      </w:r>
      <w:proofErr w:type="spellStart"/>
      <w:r w:rsidRPr="00D85AA5">
        <w:rPr>
          <w:i/>
        </w:rPr>
        <w:t>Work</w:t>
      </w:r>
      <w:proofErr w:type="spellEnd"/>
      <w:r w:rsidRPr="00FE5448">
        <w:t xml:space="preserve">, </w:t>
      </w:r>
      <w:r w:rsidRPr="00D85AA5">
        <w:rPr>
          <w:i/>
        </w:rPr>
        <w:t xml:space="preserve">Food </w:t>
      </w:r>
      <w:proofErr w:type="spellStart"/>
      <w:r w:rsidRPr="00D85AA5">
        <w:rPr>
          <w:i/>
        </w:rPr>
        <w:t>for</w:t>
      </w:r>
      <w:proofErr w:type="spellEnd"/>
      <w:r w:rsidRPr="00D85AA5">
        <w:rPr>
          <w:i/>
        </w:rPr>
        <w:t xml:space="preserve"> Assets</w:t>
      </w:r>
      <w:r w:rsidRPr="00FE5448">
        <w:t xml:space="preserve">, en </w:t>
      </w:r>
      <w:r w:rsidRPr="00D85AA5">
        <w:rPr>
          <w:i/>
        </w:rPr>
        <w:t>Cash &amp; Vouchers</w:t>
      </w:r>
      <w:r w:rsidRPr="00FE5448">
        <w:t>. Deze creëren hoognodige infrastructuur, stimuleren markten en verminderen de spanningen tussen vluchtelingen en de plaatselijke gemeenschap. Hiermee dragen ze (indirect) bij aan de stabiliteit</w:t>
      </w:r>
      <w:r>
        <w:t xml:space="preserve"> en veiligheid. Via het </w:t>
      </w:r>
      <w:r w:rsidRPr="00FE5448">
        <w:t xml:space="preserve">verbeteren van logistiek, zoals het aanleggen van wegen, </w:t>
      </w:r>
      <w:r>
        <w:t>heeft een (kleine) positieve werking</w:t>
      </w:r>
      <w:r w:rsidRPr="00FE5448">
        <w:t xml:space="preserve"> op de economische ontwikkeling van een land.</w:t>
      </w:r>
    </w:p>
    <w:p w14:paraId="2D51EEF5" w14:textId="77777777" w:rsidR="00ED7830" w:rsidRPr="00FE5448" w:rsidRDefault="00ED7830" w:rsidP="000D0473">
      <w:pPr>
        <w:rPr>
          <w:iCs/>
          <w:color w:val="8496B0" w:themeColor="text2" w:themeTint="99"/>
        </w:rPr>
      </w:pPr>
    </w:p>
    <w:p w14:paraId="2D51EEF7" w14:textId="66FC21F2" w:rsidR="00ED7830" w:rsidRPr="00D85AA5" w:rsidRDefault="00ED7830" w:rsidP="000D0473">
      <w:pPr>
        <w:rPr>
          <w:iCs/>
        </w:rPr>
      </w:pPr>
      <w:r w:rsidRPr="00D85AA5">
        <w:rPr>
          <w:iCs/>
          <w:u w:val="single"/>
        </w:rPr>
        <w:t xml:space="preserve">Seksuele en Reproductieve Gezondheid en Rechten (SRGR), inclusief </w:t>
      </w:r>
      <w:r w:rsidR="00D85AA5" w:rsidRPr="00D85AA5">
        <w:rPr>
          <w:iCs/>
          <w:u w:val="single"/>
        </w:rPr>
        <w:t>HIV</w:t>
      </w:r>
      <w:r w:rsidRPr="00D85AA5">
        <w:rPr>
          <w:iCs/>
          <w:u w:val="single"/>
        </w:rPr>
        <w:t>/</w:t>
      </w:r>
      <w:r w:rsidR="00D85AA5" w:rsidRPr="00D85AA5">
        <w:rPr>
          <w:iCs/>
          <w:u w:val="single"/>
        </w:rPr>
        <w:t>A</w:t>
      </w:r>
      <w:r w:rsidRPr="00D85AA5">
        <w:rPr>
          <w:iCs/>
          <w:u w:val="single"/>
        </w:rPr>
        <w:t>ids</w:t>
      </w:r>
      <w:r w:rsidR="000D0473">
        <w:rPr>
          <w:iCs/>
          <w:u w:val="single"/>
        </w:rPr>
        <w:t xml:space="preserve"> </w:t>
      </w:r>
      <w:r w:rsidRPr="00D85AA5">
        <w:rPr>
          <w:i/>
        </w:rPr>
        <w:t>Beperkt r</w:t>
      </w:r>
      <w:r w:rsidR="00730353" w:rsidRPr="00D85AA5">
        <w:rPr>
          <w:i/>
        </w:rPr>
        <w:t>elevant</w:t>
      </w:r>
      <w:r w:rsidR="00D85AA5">
        <w:rPr>
          <w:i/>
        </w:rPr>
        <w:t xml:space="preserve">. </w:t>
      </w:r>
      <w:r w:rsidRPr="00FE5448">
        <w:t xml:space="preserve">SRGR vormt geen expliciet onderdeel van het mandaat van WFP, maar in de praktijk richt WFP zich in de voedseldistributie (en in het bijzonder in de </w:t>
      </w:r>
      <w:r w:rsidR="00EB1EC3">
        <w:t>speciale voedings</w:t>
      </w:r>
      <w:r w:rsidRPr="00FE5448">
        <w:t>programma’s) met name op zwangere vrouwen, borstvoeding gevende moeders en kinderen in de eerste 1</w:t>
      </w:r>
      <w:r w:rsidR="00EB1EC3">
        <w:t>,</w:t>
      </w:r>
      <w:r w:rsidRPr="00FE5448">
        <w:t xml:space="preserve">000 dagen. Daarnaast wordt </w:t>
      </w:r>
      <w:r w:rsidR="00EB1EC3">
        <w:t>via s</w:t>
      </w:r>
      <w:r w:rsidRPr="00FE5448">
        <w:t>chool</w:t>
      </w:r>
      <w:r w:rsidR="00EB1EC3">
        <w:t xml:space="preserve">voedingsprogramma’s </w:t>
      </w:r>
      <w:r w:rsidRPr="00FE5448">
        <w:t>specifiek aandacht gegeven aan meisjes, de aankomende moeders. WFP werkt nauw samen met UNAIDS om de toegang van mensen met HIV (met name in humanitaire situaties) tot medicijnen en voeding te bevorderen.</w:t>
      </w:r>
    </w:p>
    <w:p w14:paraId="2D51EEF8" w14:textId="77777777" w:rsidR="00ED7830" w:rsidRPr="00FE5448" w:rsidRDefault="00ED7830" w:rsidP="000D0473">
      <w:pPr>
        <w:rPr>
          <w:iCs/>
          <w:color w:val="8496B0" w:themeColor="text2" w:themeTint="99"/>
        </w:rPr>
      </w:pPr>
    </w:p>
    <w:p w14:paraId="770F508F" w14:textId="77777777" w:rsidR="00D85AA5" w:rsidRDefault="00ED7830" w:rsidP="000D0473">
      <w:pPr>
        <w:rPr>
          <w:iCs/>
          <w:u w:val="single"/>
        </w:rPr>
      </w:pPr>
      <w:r w:rsidRPr="00D85AA5">
        <w:rPr>
          <w:iCs/>
          <w:u w:val="single"/>
        </w:rPr>
        <w:t>Gendergelijkheid</w:t>
      </w:r>
    </w:p>
    <w:p w14:paraId="2D51EEFA" w14:textId="7C8208BA" w:rsidR="00ED7830" w:rsidRDefault="00730353" w:rsidP="000D0473">
      <w:r w:rsidRPr="00D85AA5">
        <w:rPr>
          <w:i/>
        </w:rPr>
        <w:t>Relevant</w:t>
      </w:r>
      <w:r w:rsidR="00D85AA5">
        <w:rPr>
          <w:i/>
        </w:rPr>
        <w:t xml:space="preserve">. </w:t>
      </w:r>
      <w:r w:rsidR="00ED7830" w:rsidRPr="00FE5448">
        <w:t>WFP levert een belangrijke bijdrage aan de mate waarin vrouwen en meisjes toegang hebben tot voedsel, gezonde voeding voor zwangere en borstvoeding gevende vrouwen en schoolmaaltijden voor meisjes</w:t>
      </w:r>
      <w:r w:rsidR="00ED7830" w:rsidRPr="00D85AA5">
        <w:rPr>
          <w:i/>
        </w:rPr>
        <w:t xml:space="preserve">. </w:t>
      </w:r>
      <w:r w:rsidR="00ED7830" w:rsidRPr="00FE5448">
        <w:t xml:space="preserve">Ook in de </w:t>
      </w:r>
      <w:r w:rsidR="00C852C7" w:rsidRPr="00D85AA5">
        <w:rPr>
          <w:i/>
        </w:rPr>
        <w:t>C</w:t>
      </w:r>
      <w:r w:rsidR="00ED7830" w:rsidRPr="00D85AA5">
        <w:rPr>
          <w:i/>
        </w:rPr>
        <w:t xml:space="preserve">ash &amp; </w:t>
      </w:r>
      <w:r w:rsidR="00C852C7" w:rsidRPr="00D85AA5">
        <w:rPr>
          <w:i/>
        </w:rPr>
        <w:t>V</w:t>
      </w:r>
      <w:r w:rsidR="00ED7830" w:rsidRPr="00D85AA5">
        <w:rPr>
          <w:i/>
        </w:rPr>
        <w:t>oucher</w:t>
      </w:r>
      <w:r w:rsidR="00C852C7" w:rsidRPr="00D85AA5">
        <w:rPr>
          <w:i/>
        </w:rPr>
        <w:t>s</w:t>
      </w:r>
      <w:r w:rsidR="00ED7830" w:rsidRPr="00FE5448">
        <w:t xml:space="preserve"> programma’s is er duidelijk beleid en aandacht voor de genderdimensies. WFP heeft een duidelijk genderbeleid, dat als voorbeeld dient voor d</w:t>
      </w:r>
      <w:r>
        <w:t>e andere Romeinse instellingen.</w:t>
      </w:r>
    </w:p>
    <w:p w14:paraId="2395C347" w14:textId="14255C4E" w:rsidR="00D223FF" w:rsidRDefault="00D223FF" w:rsidP="000D0473"/>
    <w:p w14:paraId="7852D940" w14:textId="77777777" w:rsidR="00D223FF" w:rsidRPr="00FE5448" w:rsidRDefault="00D223FF" w:rsidP="000D0473"/>
    <w:p w14:paraId="2D51EEFB" w14:textId="77777777" w:rsidR="00ED7830" w:rsidRPr="00FE5448" w:rsidRDefault="00ED7830" w:rsidP="000D0473"/>
    <w:p w14:paraId="47945120" w14:textId="77777777" w:rsidR="00D85AA5" w:rsidRDefault="00ED7830" w:rsidP="000D0473">
      <w:pPr>
        <w:rPr>
          <w:iCs/>
          <w:u w:val="single"/>
        </w:rPr>
      </w:pPr>
      <w:r w:rsidRPr="00D85AA5">
        <w:rPr>
          <w:iCs/>
          <w:u w:val="single"/>
        </w:rPr>
        <w:lastRenderedPageBreak/>
        <w:t>Klimaat</w:t>
      </w:r>
    </w:p>
    <w:p w14:paraId="2D51EEFD" w14:textId="4613AA00" w:rsidR="00ED7830" w:rsidRPr="00730353" w:rsidRDefault="00D85AA5" w:rsidP="000D0473">
      <w:pPr>
        <w:rPr>
          <w:iCs/>
        </w:rPr>
      </w:pPr>
      <w:r>
        <w:rPr>
          <w:i/>
          <w:iCs/>
        </w:rPr>
        <w:t>B</w:t>
      </w:r>
      <w:r w:rsidR="00730353" w:rsidRPr="00D85AA5">
        <w:rPr>
          <w:i/>
        </w:rPr>
        <w:t>eperkt relevant</w:t>
      </w:r>
      <w:r>
        <w:rPr>
          <w:i/>
        </w:rPr>
        <w:t xml:space="preserve">. </w:t>
      </w:r>
      <w:r w:rsidR="00ED7830" w:rsidRPr="00FE5448">
        <w:t xml:space="preserve">WFP heeft geen </w:t>
      </w:r>
      <w:r w:rsidR="000576A7">
        <w:t xml:space="preserve">direct mandaat </w:t>
      </w:r>
      <w:r w:rsidR="00ED7830" w:rsidRPr="00FE5448">
        <w:t xml:space="preserve">op het gebied van milieu en klimaat. </w:t>
      </w:r>
      <w:r w:rsidR="000576A7">
        <w:t xml:space="preserve">Het staat echter wel vast klimaatverandering en </w:t>
      </w:r>
      <w:r w:rsidR="000D0473">
        <w:t>klimaat gerelateerde</w:t>
      </w:r>
      <w:r w:rsidR="000576A7">
        <w:t xml:space="preserve"> rampen een serieus risico vormen voor de voedselzekerheidssituatie. Volgens het </w:t>
      </w:r>
      <w:proofErr w:type="spellStart"/>
      <w:r w:rsidR="000576A7" w:rsidRPr="000D0473">
        <w:rPr>
          <w:i/>
        </w:rPr>
        <w:t>I</w:t>
      </w:r>
      <w:r w:rsidR="00C852C7" w:rsidRPr="000D0473">
        <w:rPr>
          <w:i/>
        </w:rPr>
        <w:t>ntergovernmental</w:t>
      </w:r>
      <w:proofErr w:type="spellEnd"/>
      <w:r w:rsidR="00C852C7" w:rsidRPr="000D0473">
        <w:rPr>
          <w:i/>
        </w:rPr>
        <w:t xml:space="preserve"> Panel on </w:t>
      </w:r>
      <w:proofErr w:type="spellStart"/>
      <w:r w:rsidR="00C852C7" w:rsidRPr="000D0473">
        <w:rPr>
          <w:i/>
        </w:rPr>
        <w:t>Climate</w:t>
      </w:r>
      <w:proofErr w:type="spellEnd"/>
      <w:r w:rsidR="00C852C7" w:rsidRPr="000D0473">
        <w:rPr>
          <w:i/>
        </w:rPr>
        <w:t xml:space="preserve"> Change</w:t>
      </w:r>
      <w:r w:rsidR="00C852C7">
        <w:t xml:space="preserve"> (I</w:t>
      </w:r>
      <w:r w:rsidR="000576A7">
        <w:t>PCC</w:t>
      </w:r>
      <w:r w:rsidR="00C852C7">
        <w:t>)</w:t>
      </w:r>
      <w:r w:rsidR="000576A7">
        <w:t xml:space="preserve"> kan klimaatverandering het risico op honger en ondervoeding met zo’n 20% verhogen in 2050. Hiermee is het mandaat van WFP dus nauw verweven met klimaatverandering. </w:t>
      </w:r>
      <w:r w:rsidR="00173E9E">
        <w:t xml:space="preserve">Om deze reden heeft WFP in 2016 een beleidskader: </w:t>
      </w:r>
      <w:proofErr w:type="spellStart"/>
      <w:r w:rsidR="00173E9E" w:rsidRPr="00173E9E">
        <w:rPr>
          <w:i/>
        </w:rPr>
        <w:t>WFP’s</w:t>
      </w:r>
      <w:proofErr w:type="spellEnd"/>
      <w:r w:rsidR="00173E9E" w:rsidRPr="00173E9E">
        <w:rPr>
          <w:i/>
        </w:rPr>
        <w:t xml:space="preserve"> </w:t>
      </w:r>
      <w:proofErr w:type="spellStart"/>
      <w:r w:rsidR="009164C9" w:rsidRPr="00D85AA5">
        <w:rPr>
          <w:i/>
        </w:rPr>
        <w:t>Climate</w:t>
      </w:r>
      <w:proofErr w:type="spellEnd"/>
      <w:r w:rsidR="009164C9" w:rsidRPr="00D85AA5">
        <w:rPr>
          <w:i/>
        </w:rPr>
        <w:t xml:space="preserve"> Change Policy</w:t>
      </w:r>
      <w:r w:rsidR="003B6586">
        <w:t xml:space="preserve"> </w:t>
      </w:r>
      <w:r w:rsidR="00173E9E">
        <w:t xml:space="preserve">opgesteld, dit in parallel met een </w:t>
      </w:r>
      <w:proofErr w:type="spellStart"/>
      <w:r w:rsidR="00ED7830" w:rsidRPr="00730353">
        <w:rPr>
          <w:i/>
        </w:rPr>
        <w:t>resilience</w:t>
      </w:r>
      <w:proofErr w:type="spellEnd"/>
      <w:r w:rsidR="00ED7830" w:rsidRPr="00730353">
        <w:rPr>
          <w:i/>
        </w:rPr>
        <w:t>-</w:t>
      </w:r>
      <w:r w:rsidR="00173E9E">
        <w:t xml:space="preserve">strategie </w:t>
      </w:r>
      <w:r w:rsidR="00ED7830" w:rsidRPr="00FE5448">
        <w:t>(in samenwerking met FAO en IFAD).</w:t>
      </w:r>
      <w:r w:rsidR="00ED7830">
        <w:t xml:space="preserve"> </w:t>
      </w:r>
      <w:r w:rsidR="00173E9E">
        <w:t xml:space="preserve">Om uitvoering te geven aan deze strategie heeft </w:t>
      </w:r>
      <w:r w:rsidR="00ED7830" w:rsidRPr="00FE5448">
        <w:t xml:space="preserve">WFP het programma </w:t>
      </w:r>
      <w:proofErr w:type="spellStart"/>
      <w:r w:rsidR="00ED7830" w:rsidRPr="00FE5448">
        <w:t>F</w:t>
      </w:r>
      <w:r w:rsidR="00C852C7">
        <w:t>ood</w:t>
      </w:r>
      <w:r w:rsidR="00ED7830" w:rsidRPr="00FE5448">
        <w:t>SECuRE</w:t>
      </w:r>
      <w:proofErr w:type="spellEnd"/>
      <w:r w:rsidR="00ED7830" w:rsidRPr="00FE5448">
        <w:t xml:space="preserve"> opgezet, een financieringsmechanisme voor </w:t>
      </w:r>
      <w:r w:rsidR="00ED7830" w:rsidRPr="00730353">
        <w:rPr>
          <w:i/>
        </w:rPr>
        <w:t xml:space="preserve">disaster risk </w:t>
      </w:r>
      <w:proofErr w:type="spellStart"/>
      <w:r w:rsidR="00ED7830" w:rsidRPr="00730353">
        <w:rPr>
          <w:i/>
        </w:rPr>
        <w:t>reduction</w:t>
      </w:r>
      <w:proofErr w:type="spellEnd"/>
      <w:r w:rsidR="00ED7830" w:rsidRPr="00730353">
        <w:rPr>
          <w:i/>
        </w:rPr>
        <w:t xml:space="preserve"> en </w:t>
      </w:r>
      <w:proofErr w:type="spellStart"/>
      <w:r w:rsidR="00ED7830" w:rsidRPr="00730353">
        <w:rPr>
          <w:i/>
        </w:rPr>
        <w:t>mitigation</w:t>
      </w:r>
      <w:proofErr w:type="spellEnd"/>
      <w:r w:rsidR="00ED7830" w:rsidRPr="00FE5448">
        <w:t xml:space="preserve"> op het raakvlak tussen klimaatverandering en voedselzekerheid.</w:t>
      </w:r>
      <w:r w:rsidR="000D0473">
        <w:t xml:space="preserve"> </w:t>
      </w:r>
    </w:p>
    <w:p w14:paraId="2D51EEFE" w14:textId="77777777" w:rsidR="00ED7830" w:rsidRPr="00FE5448" w:rsidRDefault="00ED7830" w:rsidP="000D0473">
      <w:pPr>
        <w:rPr>
          <w:iCs/>
          <w:color w:val="8496B0" w:themeColor="text2" w:themeTint="99"/>
        </w:rPr>
      </w:pPr>
    </w:p>
    <w:p w14:paraId="2AB6089E" w14:textId="08CC6CCB" w:rsidR="00D85AA5" w:rsidRDefault="00ED7830" w:rsidP="000D0473">
      <w:pPr>
        <w:rPr>
          <w:iCs/>
        </w:rPr>
      </w:pPr>
      <w:r w:rsidRPr="00D85AA5">
        <w:rPr>
          <w:iCs/>
          <w:u w:val="single"/>
        </w:rPr>
        <w:t xml:space="preserve">Private </w:t>
      </w:r>
      <w:r w:rsidR="00C16DD0">
        <w:rPr>
          <w:iCs/>
          <w:u w:val="single"/>
        </w:rPr>
        <w:t>s</w:t>
      </w:r>
      <w:r w:rsidRPr="00D85AA5">
        <w:rPr>
          <w:iCs/>
          <w:u w:val="single"/>
        </w:rPr>
        <w:t xml:space="preserve">ector </w:t>
      </w:r>
      <w:r w:rsidR="00C16DD0">
        <w:rPr>
          <w:iCs/>
          <w:u w:val="single"/>
        </w:rPr>
        <w:t>ontwikkeling</w:t>
      </w:r>
    </w:p>
    <w:p w14:paraId="2D51EF00" w14:textId="57249C55" w:rsidR="00ED7830" w:rsidRPr="00D85AA5" w:rsidRDefault="00ED7830" w:rsidP="000D0473">
      <w:pPr>
        <w:rPr>
          <w:iCs/>
        </w:rPr>
      </w:pPr>
      <w:r w:rsidRPr="00D85AA5">
        <w:rPr>
          <w:i/>
        </w:rPr>
        <w:t>Beperkt relevant</w:t>
      </w:r>
      <w:r w:rsidR="00D85AA5">
        <w:rPr>
          <w:i/>
        </w:rPr>
        <w:t xml:space="preserve">. </w:t>
      </w:r>
      <w:r w:rsidRPr="00FE5448">
        <w:t xml:space="preserve">WFP </w:t>
      </w:r>
      <w:r w:rsidR="000E4777">
        <w:t xml:space="preserve">koopt zoveel mogelijk </w:t>
      </w:r>
      <w:r w:rsidRPr="00FE5448">
        <w:t xml:space="preserve">lokaal </w:t>
      </w:r>
      <w:r w:rsidR="000E4777">
        <w:t>voedsel in ten behoeve van haar activiteiten.</w:t>
      </w:r>
      <w:r w:rsidRPr="00FE5448">
        <w:t xml:space="preserve"> In samenwerking met FAO en IFAD wordt bijvoorbeeld de lokale voedselproductie gestimuleerd </w:t>
      </w:r>
      <w:r w:rsidR="000E4777">
        <w:t xml:space="preserve">(en daarmee de lokale private sector) </w:t>
      </w:r>
      <w:r w:rsidRPr="00FE5448">
        <w:t>door deze te verbinden aan programma’s voor schoolmaaltijden of andere vraag naar voedsel vanuit WFP-activiteiten. Door capaciteitsontwikkeling van boerencoöperaties en</w:t>
      </w:r>
      <w:r>
        <w:t xml:space="preserve"> het genereren van hogere vraag</w:t>
      </w:r>
      <w:r w:rsidRPr="00FE5448">
        <w:t xml:space="preserve"> wordt beoogd dat de coöperaties op termijn ook zelfstandig kunnen leveren met dezelfde (hoge) standaarden. </w:t>
      </w:r>
      <w:r w:rsidR="000E4777">
        <w:t xml:space="preserve">Ook de transitie van in natura voedseldistributies naar het </w:t>
      </w:r>
      <w:r w:rsidRPr="00D85AA5">
        <w:rPr>
          <w:i/>
        </w:rPr>
        <w:t>Cash &amp; Vouchers</w:t>
      </w:r>
      <w:r w:rsidRPr="00FE5448">
        <w:t xml:space="preserve"> </w:t>
      </w:r>
      <w:r w:rsidR="000E4777">
        <w:t xml:space="preserve">model kan </w:t>
      </w:r>
      <w:r w:rsidRPr="00FE5448">
        <w:t>bij</w:t>
      </w:r>
      <w:r w:rsidR="000E4777">
        <w:t>dragen</w:t>
      </w:r>
      <w:r w:rsidRPr="00FE5448">
        <w:t xml:space="preserve"> aan de lokale economische ontwikkeling: een recente studie van WFP constateerde bijvoorbeeld een groei van 0,7% van het BNP van Jordanië dankzij d</w:t>
      </w:r>
      <w:r w:rsidR="000E4777">
        <w:t>eze modaliteit van hulpverlening</w:t>
      </w:r>
      <w:r w:rsidRPr="00FE5448">
        <w:t>.</w:t>
      </w:r>
    </w:p>
    <w:p w14:paraId="2D51EF01" w14:textId="77777777" w:rsidR="00ED7830" w:rsidRPr="00FE5448" w:rsidRDefault="00ED7830" w:rsidP="000D0473">
      <w:pPr>
        <w:rPr>
          <w:iCs/>
          <w:color w:val="8496B0" w:themeColor="text2" w:themeTint="99"/>
        </w:rPr>
      </w:pPr>
    </w:p>
    <w:p w14:paraId="288900B8" w14:textId="77777777" w:rsidR="00D85AA5" w:rsidRDefault="00ED7830" w:rsidP="000D0473">
      <w:pPr>
        <w:rPr>
          <w:iCs/>
        </w:rPr>
      </w:pPr>
      <w:r w:rsidRPr="00D85AA5">
        <w:rPr>
          <w:iCs/>
          <w:u w:val="single"/>
        </w:rPr>
        <w:t>Humanitaire hulp</w:t>
      </w:r>
      <w:r w:rsidR="00055F44" w:rsidRPr="00D85AA5">
        <w:rPr>
          <w:iCs/>
        </w:rPr>
        <w:t xml:space="preserve"> </w:t>
      </w:r>
    </w:p>
    <w:p w14:paraId="2D51EF03" w14:textId="4B72AE68" w:rsidR="00ED7830" w:rsidRDefault="00ED7830" w:rsidP="000D0473">
      <w:r w:rsidRPr="00D85AA5">
        <w:rPr>
          <w:i/>
        </w:rPr>
        <w:t>Relevant</w:t>
      </w:r>
      <w:r w:rsidR="00D85AA5">
        <w:rPr>
          <w:i/>
        </w:rPr>
        <w:t xml:space="preserve">. </w:t>
      </w:r>
      <w:r w:rsidR="00055F44">
        <w:t xml:space="preserve">Humanitaire hulp is het </w:t>
      </w:r>
      <w:r w:rsidR="00C852C7">
        <w:t>ke</w:t>
      </w:r>
      <w:r w:rsidR="00D85AA5">
        <w:t>r</w:t>
      </w:r>
      <w:r w:rsidR="00C852C7">
        <w:t>n</w:t>
      </w:r>
      <w:r w:rsidR="00055F44">
        <w:t xml:space="preserve">mandaat van WFP. </w:t>
      </w:r>
      <w:r w:rsidRPr="00FE5448">
        <w:t>WFP is vaak als eerste VN-organisatie aanwezig in humanitaire noodsituaties en legt daarmee de basis voor de aanwezigheid van andere VN-organisaties.</w:t>
      </w:r>
      <w:r>
        <w:t xml:space="preserve"> </w:t>
      </w:r>
      <w:r w:rsidRPr="00FE5448">
        <w:t>WFP is zeer effectief met het behalen van resultaten op dit terrein, concludeerde ook een Zweeds/Nederlandse evaluatie uit 2012.</w:t>
      </w:r>
      <w:r>
        <w:t xml:space="preserve"> </w:t>
      </w:r>
    </w:p>
    <w:p w14:paraId="2D51EF04" w14:textId="77777777" w:rsidR="00CF5E16" w:rsidRPr="00D85AA5" w:rsidRDefault="00CF5E16" w:rsidP="0031397D">
      <w:pPr>
        <w:rPr>
          <w:i/>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4"/>
        <w:gridCol w:w="1557"/>
        <w:gridCol w:w="1839"/>
        <w:gridCol w:w="1482"/>
      </w:tblGrid>
      <w:tr w:rsidR="004D1D28" w14:paraId="3E15A2EF" w14:textId="77777777" w:rsidTr="00EA114B">
        <w:tc>
          <w:tcPr>
            <w:tcW w:w="7702" w:type="dxa"/>
            <w:gridSpan w:val="4"/>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14:paraId="1672683D" w14:textId="5F5AE0BB" w:rsidR="004D1D28" w:rsidRPr="00792AB2" w:rsidRDefault="004D1D28" w:rsidP="004D1D28">
            <w:pPr>
              <w:rPr>
                <w:b/>
              </w:rPr>
            </w:pPr>
            <w:r>
              <w:rPr>
                <w:b/>
              </w:rPr>
              <w:t>Relevantie voor de Nederlandse BHOS-prioriteiten</w:t>
            </w:r>
          </w:p>
        </w:tc>
      </w:tr>
      <w:tr w:rsidR="008B720C" w14:paraId="2D51EF0C" w14:textId="77777777" w:rsidTr="00EA114B">
        <w:tc>
          <w:tcPr>
            <w:tcW w:w="2824" w:type="dxa"/>
            <w:tcBorders>
              <w:top w:val="single" w:sz="12" w:space="0" w:color="auto"/>
              <w:left w:val="single" w:sz="12" w:space="0" w:color="auto"/>
              <w:bottom w:val="single" w:sz="12" w:space="0" w:color="auto"/>
            </w:tcBorders>
            <w:shd w:val="clear" w:color="auto" w:fill="BFBFBF" w:themeFill="background1" w:themeFillShade="BF"/>
          </w:tcPr>
          <w:p w14:paraId="2D51EF08" w14:textId="77777777" w:rsidR="008B720C" w:rsidRPr="00792AB2" w:rsidRDefault="008B720C" w:rsidP="002C45B0">
            <w:pPr>
              <w:rPr>
                <w:b/>
                <w:i/>
              </w:rPr>
            </w:pPr>
          </w:p>
        </w:tc>
        <w:tc>
          <w:tcPr>
            <w:tcW w:w="1557" w:type="dxa"/>
            <w:tcBorders>
              <w:top w:val="single" w:sz="12" w:space="0" w:color="auto"/>
              <w:bottom w:val="single" w:sz="12" w:space="0" w:color="auto"/>
            </w:tcBorders>
            <w:shd w:val="clear" w:color="auto" w:fill="BFBFBF" w:themeFill="background1" w:themeFillShade="BF"/>
          </w:tcPr>
          <w:p w14:paraId="2D51EF09" w14:textId="77777777" w:rsidR="00674C14" w:rsidRPr="00792AB2" w:rsidRDefault="008B720C" w:rsidP="008E16C9">
            <w:pPr>
              <w:jc w:val="center"/>
              <w:rPr>
                <w:b/>
              </w:rPr>
            </w:pPr>
            <w:r w:rsidRPr="00792AB2">
              <w:rPr>
                <w:b/>
              </w:rPr>
              <w:t>Uitvoerend</w:t>
            </w:r>
          </w:p>
        </w:tc>
        <w:tc>
          <w:tcPr>
            <w:tcW w:w="1839" w:type="dxa"/>
            <w:tcBorders>
              <w:top w:val="single" w:sz="12" w:space="0" w:color="auto"/>
              <w:bottom w:val="single" w:sz="12" w:space="0" w:color="auto"/>
            </w:tcBorders>
            <w:shd w:val="clear" w:color="auto" w:fill="BFBFBF" w:themeFill="background1" w:themeFillShade="BF"/>
          </w:tcPr>
          <w:p w14:paraId="2D51EF0A" w14:textId="77777777" w:rsidR="008B720C" w:rsidRPr="00792AB2" w:rsidRDefault="008B720C" w:rsidP="008E16C9">
            <w:pPr>
              <w:jc w:val="center"/>
              <w:rPr>
                <w:b/>
              </w:rPr>
            </w:pPr>
            <w:r w:rsidRPr="00792AB2">
              <w:rPr>
                <w:b/>
              </w:rPr>
              <w:t>Coördinerend</w:t>
            </w:r>
          </w:p>
        </w:tc>
        <w:tc>
          <w:tcPr>
            <w:tcW w:w="1482" w:type="dxa"/>
            <w:tcBorders>
              <w:top w:val="single" w:sz="12" w:space="0" w:color="auto"/>
              <w:bottom w:val="single" w:sz="12" w:space="0" w:color="auto"/>
              <w:right w:val="single" w:sz="12" w:space="0" w:color="auto"/>
            </w:tcBorders>
            <w:shd w:val="clear" w:color="auto" w:fill="BFBFBF" w:themeFill="background1" w:themeFillShade="BF"/>
          </w:tcPr>
          <w:p w14:paraId="2D51EF0B" w14:textId="77777777" w:rsidR="008B720C" w:rsidRPr="00792AB2" w:rsidRDefault="008B720C" w:rsidP="008E16C9">
            <w:pPr>
              <w:jc w:val="center"/>
              <w:rPr>
                <w:b/>
              </w:rPr>
            </w:pPr>
            <w:r w:rsidRPr="00792AB2">
              <w:rPr>
                <w:b/>
              </w:rPr>
              <w:t>Normatief</w:t>
            </w:r>
          </w:p>
        </w:tc>
      </w:tr>
      <w:tr w:rsidR="008B720C" w14:paraId="2D51EF11" w14:textId="77777777" w:rsidTr="004D1D28">
        <w:tc>
          <w:tcPr>
            <w:tcW w:w="2824" w:type="dxa"/>
            <w:tcBorders>
              <w:top w:val="single" w:sz="12" w:space="0" w:color="auto"/>
              <w:left w:val="single" w:sz="12" w:space="0" w:color="auto"/>
            </w:tcBorders>
            <w:shd w:val="clear" w:color="auto" w:fill="auto"/>
          </w:tcPr>
          <w:p w14:paraId="2D51EF0D" w14:textId="63B1C336" w:rsidR="00C16DD0" w:rsidRDefault="008B720C" w:rsidP="00EA114B">
            <w:r>
              <w:t>Voedselzekerheid</w:t>
            </w:r>
          </w:p>
        </w:tc>
        <w:tc>
          <w:tcPr>
            <w:tcW w:w="1557" w:type="dxa"/>
            <w:tcBorders>
              <w:top w:val="single" w:sz="12" w:space="0" w:color="auto"/>
            </w:tcBorders>
            <w:shd w:val="clear" w:color="auto" w:fill="auto"/>
          </w:tcPr>
          <w:p w14:paraId="2D51EF0E" w14:textId="77777777" w:rsidR="008B720C" w:rsidRDefault="00CF5E16" w:rsidP="00EA114B">
            <w:r>
              <w:t>4</w:t>
            </w:r>
          </w:p>
        </w:tc>
        <w:tc>
          <w:tcPr>
            <w:tcW w:w="1839" w:type="dxa"/>
            <w:tcBorders>
              <w:top w:val="single" w:sz="12" w:space="0" w:color="auto"/>
            </w:tcBorders>
            <w:shd w:val="clear" w:color="auto" w:fill="auto"/>
          </w:tcPr>
          <w:p w14:paraId="2D51EF0F" w14:textId="77777777" w:rsidR="008B720C" w:rsidRDefault="00CF5E16" w:rsidP="00EA114B">
            <w:r>
              <w:t>4</w:t>
            </w:r>
          </w:p>
        </w:tc>
        <w:tc>
          <w:tcPr>
            <w:tcW w:w="1482" w:type="dxa"/>
            <w:tcBorders>
              <w:top w:val="single" w:sz="12" w:space="0" w:color="auto"/>
              <w:right w:val="single" w:sz="12" w:space="0" w:color="auto"/>
            </w:tcBorders>
            <w:shd w:val="clear" w:color="auto" w:fill="auto"/>
          </w:tcPr>
          <w:p w14:paraId="2D51EF10" w14:textId="77777777" w:rsidR="008B720C" w:rsidRDefault="008B720C" w:rsidP="00EA114B"/>
        </w:tc>
      </w:tr>
      <w:tr w:rsidR="008729B8" w14:paraId="2D51EF16" w14:textId="77777777" w:rsidTr="004D1D28">
        <w:tc>
          <w:tcPr>
            <w:tcW w:w="2824" w:type="dxa"/>
            <w:tcBorders>
              <w:left w:val="single" w:sz="12" w:space="0" w:color="auto"/>
            </w:tcBorders>
            <w:shd w:val="clear" w:color="auto" w:fill="auto"/>
          </w:tcPr>
          <w:p w14:paraId="2D51EF12" w14:textId="483C7036" w:rsidR="00C16DD0" w:rsidRDefault="008729B8" w:rsidP="00EA114B">
            <w:r>
              <w:t>Gendergelijkheid</w:t>
            </w:r>
          </w:p>
        </w:tc>
        <w:tc>
          <w:tcPr>
            <w:tcW w:w="1557" w:type="dxa"/>
            <w:shd w:val="clear" w:color="auto" w:fill="auto"/>
          </w:tcPr>
          <w:p w14:paraId="2D51EF13" w14:textId="77777777" w:rsidR="008729B8" w:rsidRDefault="008729B8" w:rsidP="00EA114B">
            <w:r>
              <w:t>4</w:t>
            </w:r>
          </w:p>
        </w:tc>
        <w:tc>
          <w:tcPr>
            <w:tcW w:w="1839" w:type="dxa"/>
            <w:shd w:val="clear" w:color="auto" w:fill="auto"/>
          </w:tcPr>
          <w:p w14:paraId="2D51EF14" w14:textId="77777777" w:rsidR="008729B8" w:rsidRDefault="008729B8" w:rsidP="00EA114B"/>
        </w:tc>
        <w:tc>
          <w:tcPr>
            <w:tcW w:w="1482" w:type="dxa"/>
            <w:tcBorders>
              <w:right w:val="single" w:sz="12" w:space="0" w:color="auto"/>
            </w:tcBorders>
            <w:shd w:val="clear" w:color="auto" w:fill="auto"/>
          </w:tcPr>
          <w:p w14:paraId="2D51EF15" w14:textId="77777777" w:rsidR="008729B8" w:rsidRDefault="008729B8" w:rsidP="00EA114B"/>
        </w:tc>
      </w:tr>
      <w:tr w:rsidR="008B720C" w14:paraId="2D51EF1B" w14:textId="77777777" w:rsidTr="004D1D28">
        <w:tc>
          <w:tcPr>
            <w:tcW w:w="2824" w:type="dxa"/>
            <w:tcBorders>
              <w:left w:val="single" w:sz="12" w:space="0" w:color="auto"/>
              <w:bottom w:val="single" w:sz="12" w:space="0" w:color="auto"/>
            </w:tcBorders>
            <w:shd w:val="clear" w:color="auto" w:fill="auto"/>
          </w:tcPr>
          <w:p w14:paraId="2D51EF17" w14:textId="0B3CC4BB" w:rsidR="00C16DD0" w:rsidRDefault="008B720C" w:rsidP="00EA114B">
            <w:r>
              <w:t>Humanitaire hulp</w:t>
            </w:r>
          </w:p>
        </w:tc>
        <w:tc>
          <w:tcPr>
            <w:tcW w:w="1557" w:type="dxa"/>
            <w:tcBorders>
              <w:bottom w:val="single" w:sz="12" w:space="0" w:color="auto"/>
            </w:tcBorders>
            <w:shd w:val="clear" w:color="auto" w:fill="auto"/>
          </w:tcPr>
          <w:p w14:paraId="2D51EF18" w14:textId="77777777" w:rsidR="008B720C" w:rsidRDefault="008E16C9" w:rsidP="00EA114B">
            <w:r>
              <w:t>4</w:t>
            </w:r>
          </w:p>
        </w:tc>
        <w:tc>
          <w:tcPr>
            <w:tcW w:w="1839" w:type="dxa"/>
            <w:tcBorders>
              <w:bottom w:val="single" w:sz="12" w:space="0" w:color="auto"/>
            </w:tcBorders>
            <w:shd w:val="clear" w:color="auto" w:fill="auto"/>
          </w:tcPr>
          <w:p w14:paraId="2D51EF19" w14:textId="77777777" w:rsidR="008B720C" w:rsidRDefault="008E16C9" w:rsidP="00EA114B">
            <w:r>
              <w:t>4</w:t>
            </w:r>
          </w:p>
        </w:tc>
        <w:tc>
          <w:tcPr>
            <w:tcW w:w="1482" w:type="dxa"/>
            <w:tcBorders>
              <w:bottom w:val="single" w:sz="12" w:space="0" w:color="auto"/>
              <w:right w:val="single" w:sz="12" w:space="0" w:color="auto"/>
            </w:tcBorders>
            <w:shd w:val="clear" w:color="auto" w:fill="auto"/>
          </w:tcPr>
          <w:p w14:paraId="2D51EF1A" w14:textId="77777777" w:rsidR="008B720C" w:rsidRDefault="008E16C9" w:rsidP="00EA114B">
            <w:r>
              <w:t>4</w:t>
            </w:r>
          </w:p>
        </w:tc>
      </w:tr>
    </w:tbl>
    <w:p w14:paraId="2D51EF2B" w14:textId="3E4D271F" w:rsidR="00587797" w:rsidRDefault="00587797" w:rsidP="00D56200">
      <w:pPr>
        <w:pStyle w:val="Heading2"/>
        <w:tabs>
          <w:tab w:val="left" w:pos="-1162"/>
          <w:tab w:val="left" w:pos="0"/>
          <w:tab w:val="num" w:pos="1160"/>
        </w:tabs>
        <w:spacing w:line="240" w:lineRule="auto"/>
      </w:pPr>
      <w:bookmarkStart w:id="43" w:name="_Toc410140912"/>
      <w:bookmarkEnd w:id="43"/>
    </w:p>
    <w:p w14:paraId="2D51EF2D" w14:textId="4B52DAD7" w:rsidR="00FD2CA3" w:rsidRDefault="00FD2CA3">
      <w:pPr>
        <w:spacing w:line="240" w:lineRule="auto"/>
        <w:rPr>
          <w:i/>
        </w:rPr>
      </w:pPr>
    </w:p>
    <w:p w14:paraId="44A25840" w14:textId="2D487F63" w:rsidR="00D06BC6" w:rsidRDefault="00D06BC6">
      <w:pPr>
        <w:spacing w:line="240" w:lineRule="auto"/>
        <w:rPr>
          <w:i/>
        </w:rPr>
      </w:pPr>
    </w:p>
    <w:p w14:paraId="514BB7FB" w14:textId="4ACEA462" w:rsidR="00D06BC6" w:rsidRDefault="00D06BC6">
      <w:pPr>
        <w:spacing w:line="240" w:lineRule="auto"/>
        <w:rPr>
          <w:i/>
        </w:rPr>
      </w:pPr>
    </w:p>
    <w:p w14:paraId="748521C9" w14:textId="417ECE06" w:rsidR="00D06BC6" w:rsidRDefault="00D06BC6">
      <w:pPr>
        <w:spacing w:line="240" w:lineRule="auto"/>
        <w:rPr>
          <w:i/>
        </w:rPr>
      </w:pPr>
    </w:p>
    <w:p w14:paraId="38B28622" w14:textId="77777777" w:rsidR="00D06BC6" w:rsidRDefault="00D06BC6">
      <w:pPr>
        <w:spacing w:line="240" w:lineRule="auto"/>
        <w:rPr>
          <w:i/>
        </w:rPr>
      </w:pPr>
    </w:p>
    <w:sectPr w:rsidR="00D06BC6" w:rsidSect="00DF63F2">
      <w:endnotePr>
        <w:numFmt w:val="decimal"/>
      </w:endnotePr>
      <w:type w:val="continuous"/>
      <w:pgSz w:w="11906" w:h="16838" w:code="9"/>
      <w:pgMar w:top="2041" w:right="958" w:bottom="1247" w:left="3221" w:header="198" w:footer="65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F39C83" w14:textId="77777777" w:rsidR="000D0473" w:rsidRDefault="000D0473">
      <w:r>
        <w:separator/>
      </w:r>
    </w:p>
    <w:p w14:paraId="13C82F99" w14:textId="77777777" w:rsidR="000D0473" w:rsidRDefault="000D0473"/>
    <w:p w14:paraId="01D6CA8A" w14:textId="77777777" w:rsidR="000D0473" w:rsidRDefault="000D0473"/>
  </w:endnote>
  <w:endnote w:type="continuationSeparator" w:id="0">
    <w:p w14:paraId="270C16DB" w14:textId="77777777" w:rsidR="000D0473" w:rsidRDefault="000D0473">
      <w:r>
        <w:continuationSeparator/>
      </w:r>
    </w:p>
    <w:p w14:paraId="15D58BBB" w14:textId="77777777" w:rsidR="000D0473" w:rsidRDefault="000D0473"/>
    <w:p w14:paraId="3C5E32F1" w14:textId="77777777" w:rsidR="000D0473" w:rsidRDefault="000D04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KIX Barcode">
    <w:altName w:val="Courier New"/>
    <w:charset w:val="00"/>
    <w:family w:val="swiss"/>
    <w:pitch w:val="variable"/>
    <w:sig w:usb0="8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DengXian">
    <w:altName w:val="等线"/>
    <w:panose1 w:val="02010600030101010101"/>
    <w:charset w:val="86"/>
    <w:family w:val="modern"/>
    <w:pitch w:val="fixed"/>
    <w:sig w:usb0="00000001" w:usb1="080E0000" w:usb2="00000010" w:usb3="00000000" w:csb0="00040000" w:csb1="00000000"/>
  </w:font>
  <w:font w:name="Wingdings">
    <w:panose1 w:val="05000000000000000000"/>
    <w:charset w:val="02"/>
    <w:family w:val="auto"/>
    <w:pitch w:val="variable"/>
    <w:sig w:usb0="00000000" w:usb1="10000000" w:usb2="00000000" w:usb3="00000000" w:csb0="80000000" w:csb1="00000000"/>
  </w:font>
  <w:font w:name="Segoe UI Emoji">
    <w:panose1 w:val="020B0502040204020203"/>
    <w:charset w:val="00"/>
    <w:family w:val="swiss"/>
    <w:pitch w:val="variable"/>
    <w:sig w:usb0="00000003" w:usb1="02000000" w:usb2="00000000" w:usb3="00000000" w:csb0="00000001"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7652" w:type="dxa"/>
      <w:tblLayout w:type="fixed"/>
      <w:tblCellMar>
        <w:left w:w="0" w:type="dxa"/>
        <w:right w:w="0" w:type="dxa"/>
      </w:tblCellMar>
      <w:tblLook w:val="0000" w:firstRow="0" w:lastRow="0" w:firstColumn="0" w:lastColumn="0" w:noHBand="0" w:noVBand="0"/>
    </w:tblPr>
    <w:tblGrid>
      <w:gridCol w:w="6179"/>
      <w:gridCol w:w="1374"/>
      <w:gridCol w:w="99"/>
    </w:tblGrid>
    <w:tr w:rsidR="000D0473" w:rsidRPr="00785F18" w14:paraId="2D51EF55" w14:textId="77777777" w:rsidTr="003B518B">
      <w:trPr>
        <w:trHeight w:hRule="exact" w:val="240"/>
      </w:trPr>
      <w:tc>
        <w:tcPr>
          <w:tcW w:w="7752" w:type="dxa"/>
          <w:gridSpan w:val="3"/>
          <w:shd w:val="clear" w:color="auto" w:fill="auto"/>
        </w:tcPr>
        <w:p w14:paraId="2D51EF54" w14:textId="77777777" w:rsidR="000D0473" w:rsidRPr="00785F18" w:rsidRDefault="000D0473">
          <w:pPr>
            <w:spacing w:line="240" w:lineRule="auto"/>
          </w:pPr>
        </w:p>
      </w:tc>
    </w:tr>
    <w:tr w:rsidR="000D0473" w:rsidRPr="00785F18" w14:paraId="2D51EF58" w14:textId="77777777" w:rsidTr="003B518B">
      <w:trPr>
        <w:gridAfter w:val="1"/>
        <w:wAfter w:w="99" w:type="dxa"/>
        <w:trHeight w:hRule="exact" w:val="240"/>
      </w:trPr>
      <w:tc>
        <w:tcPr>
          <w:tcW w:w="6260" w:type="dxa"/>
          <w:shd w:val="clear" w:color="auto" w:fill="auto"/>
        </w:tcPr>
        <w:p w14:paraId="2D51EF56" w14:textId="77777777" w:rsidR="000D0473" w:rsidRPr="00785F18" w:rsidRDefault="00223974" w:rsidP="003B518B">
          <w:pPr>
            <w:pStyle w:val="Huisstijl-Paginanummering"/>
            <w:rPr>
              <w:rStyle w:val="Huisstijl-Rubricering"/>
            </w:rPr>
          </w:pPr>
          <w:r>
            <w:fldChar w:fldCharType="begin"/>
          </w:r>
          <w:r>
            <w:instrText xml:space="preserve"> DOCPROPERTY  L_PAGE  \* MERGEFORMAT </w:instrText>
          </w:r>
          <w:r>
            <w:fldChar w:fldCharType="separate"/>
          </w:r>
          <w:r w:rsidR="000D0473">
            <w:t>Pagina</w:t>
          </w:r>
          <w:r>
            <w:fldChar w:fldCharType="end"/>
          </w:r>
          <w:r w:rsidR="000D0473" w:rsidRPr="00785F18">
            <w:t xml:space="preserve"> </w:t>
          </w:r>
          <w:r w:rsidR="000D0473">
            <w:fldChar w:fldCharType="begin"/>
          </w:r>
          <w:r w:rsidR="000D0473">
            <w:instrText xml:space="preserve"> PAGE   \* MERGEFORMAT </w:instrText>
          </w:r>
          <w:r w:rsidR="000D0473">
            <w:fldChar w:fldCharType="separate"/>
          </w:r>
          <w:r w:rsidR="000D0473">
            <w:t>16</w:t>
          </w:r>
          <w:r w:rsidR="000D0473">
            <w:fldChar w:fldCharType="end"/>
          </w:r>
          <w:r w:rsidR="000D0473" w:rsidRPr="00785F18">
            <w:t xml:space="preserve"> </w:t>
          </w:r>
          <w:r>
            <w:fldChar w:fldCharType="begin"/>
          </w:r>
          <w:r>
            <w:instrText xml:space="preserve"> DOCPROPERTY  L_PAGEOF  \* MERGEFORMAT </w:instrText>
          </w:r>
          <w:r>
            <w:fldChar w:fldCharType="separate"/>
          </w:r>
          <w:r w:rsidR="000D0473">
            <w:t>van</w:t>
          </w:r>
          <w:r>
            <w:fldChar w:fldCharType="end"/>
          </w:r>
          <w:r w:rsidR="000D0473" w:rsidRPr="00785F18">
            <w:t xml:space="preserve"> </w:t>
          </w:r>
          <w:r>
            <w:fldChar w:fldCharType="begin"/>
          </w:r>
          <w:r>
            <w:instrText xml:space="preserve"> NUMPAGES   \* MERGEFORMAT </w:instrText>
          </w:r>
          <w:r>
            <w:fldChar w:fldCharType="separate"/>
          </w:r>
          <w:r w:rsidR="000D0473">
            <w:t>16</w:t>
          </w:r>
          <w:r>
            <w:fldChar w:fldCharType="end"/>
          </w:r>
        </w:p>
      </w:tc>
      <w:tc>
        <w:tcPr>
          <w:tcW w:w="1392" w:type="dxa"/>
        </w:tcPr>
        <w:p w14:paraId="2D51EF57" w14:textId="77777777" w:rsidR="000D0473" w:rsidRPr="00785F18" w:rsidRDefault="000D0473" w:rsidP="003B518B">
          <w:pPr>
            <w:pStyle w:val="Huisstijl-Paginanummering"/>
            <w:jc w:val="right"/>
          </w:pPr>
        </w:p>
      </w:tc>
    </w:tr>
  </w:tbl>
  <w:p w14:paraId="2D51EF59" w14:textId="77777777" w:rsidR="000D0473" w:rsidRPr="00785F18" w:rsidRDefault="000D0473" w:rsidP="003B518B">
    <w:pPr>
      <w:spacing w:line="240" w:lineRule="auto"/>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921322622"/>
      <w:docPartObj>
        <w:docPartGallery w:val="Page Numbers (Bottom of Page)"/>
        <w:docPartUnique/>
      </w:docPartObj>
    </w:sdtPr>
    <w:sdtEndPr/>
    <w:sdtContent>
      <w:sdt>
        <w:sdtPr>
          <w:rPr>
            <w:sz w:val="16"/>
            <w:szCs w:val="16"/>
          </w:rPr>
          <w:id w:val="-1769616900"/>
          <w:docPartObj>
            <w:docPartGallery w:val="Page Numbers (Top of Page)"/>
            <w:docPartUnique/>
          </w:docPartObj>
        </w:sdtPr>
        <w:sdtEndPr/>
        <w:sdtContent>
          <w:p w14:paraId="395CEC09" w14:textId="0097B9E8" w:rsidR="003340B1" w:rsidRPr="003340B1" w:rsidRDefault="003340B1">
            <w:pPr>
              <w:pStyle w:val="Footer"/>
              <w:jc w:val="right"/>
              <w:rPr>
                <w:sz w:val="16"/>
                <w:szCs w:val="16"/>
              </w:rPr>
            </w:pPr>
            <w:r w:rsidRPr="003340B1">
              <w:rPr>
                <w:sz w:val="16"/>
                <w:szCs w:val="16"/>
              </w:rPr>
              <w:t xml:space="preserve">Pagina </w:t>
            </w:r>
            <w:r w:rsidRPr="003340B1">
              <w:rPr>
                <w:bCs/>
                <w:sz w:val="16"/>
                <w:szCs w:val="16"/>
              </w:rPr>
              <w:fldChar w:fldCharType="begin"/>
            </w:r>
            <w:r w:rsidRPr="003340B1">
              <w:rPr>
                <w:bCs/>
                <w:sz w:val="16"/>
                <w:szCs w:val="16"/>
              </w:rPr>
              <w:instrText>PAGE</w:instrText>
            </w:r>
            <w:r w:rsidRPr="003340B1">
              <w:rPr>
                <w:bCs/>
                <w:sz w:val="16"/>
                <w:szCs w:val="16"/>
              </w:rPr>
              <w:fldChar w:fldCharType="separate"/>
            </w:r>
            <w:r w:rsidR="00223974">
              <w:rPr>
                <w:bCs/>
                <w:noProof/>
                <w:sz w:val="16"/>
                <w:szCs w:val="16"/>
              </w:rPr>
              <w:t>19</w:t>
            </w:r>
            <w:r w:rsidRPr="003340B1">
              <w:rPr>
                <w:bCs/>
                <w:sz w:val="16"/>
                <w:szCs w:val="16"/>
              </w:rPr>
              <w:fldChar w:fldCharType="end"/>
            </w:r>
            <w:r w:rsidRPr="003340B1">
              <w:rPr>
                <w:sz w:val="16"/>
                <w:szCs w:val="16"/>
              </w:rPr>
              <w:t xml:space="preserve"> van </w:t>
            </w:r>
            <w:r w:rsidRPr="003340B1">
              <w:rPr>
                <w:bCs/>
                <w:sz w:val="16"/>
                <w:szCs w:val="16"/>
              </w:rPr>
              <w:fldChar w:fldCharType="begin"/>
            </w:r>
            <w:r w:rsidRPr="003340B1">
              <w:rPr>
                <w:bCs/>
                <w:sz w:val="16"/>
                <w:szCs w:val="16"/>
              </w:rPr>
              <w:instrText>NUMPAGES</w:instrText>
            </w:r>
            <w:r w:rsidRPr="003340B1">
              <w:rPr>
                <w:bCs/>
                <w:sz w:val="16"/>
                <w:szCs w:val="16"/>
              </w:rPr>
              <w:fldChar w:fldCharType="separate"/>
            </w:r>
            <w:r w:rsidR="00223974">
              <w:rPr>
                <w:bCs/>
                <w:noProof/>
                <w:sz w:val="16"/>
                <w:szCs w:val="16"/>
              </w:rPr>
              <w:t>19</w:t>
            </w:r>
            <w:r w:rsidRPr="003340B1">
              <w:rPr>
                <w:bCs/>
                <w:sz w:val="16"/>
                <w:szCs w:val="16"/>
              </w:rPr>
              <w:fldChar w:fldCharType="end"/>
            </w:r>
          </w:p>
        </w:sdtContent>
      </w:sdt>
    </w:sdtContent>
  </w:sdt>
  <w:p w14:paraId="2D51EF5E" w14:textId="77777777" w:rsidR="000D0473" w:rsidRPr="00785F18" w:rsidRDefault="000D0473" w:rsidP="003B518B">
    <w:pPr>
      <w:spacing w:line="240" w:lineRule="auto"/>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0" w:type="dxa"/>
        <w:right w:w="0" w:type="dxa"/>
      </w:tblCellMar>
      <w:tblLook w:val="0000" w:firstRow="0" w:lastRow="0" w:firstColumn="0" w:lastColumn="0" w:noHBand="0" w:noVBand="0"/>
    </w:tblPr>
    <w:tblGrid>
      <w:gridCol w:w="6260"/>
    </w:tblGrid>
    <w:tr w:rsidR="003340B1" w:rsidRPr="00785F18" w14:paraId="2D51EF71" w14:textId="77777777" w:rsidTr="00B06D4B">
      <w:trPr>
        <w:trHeight w:hRule="exact" w:val="240"/>
      </w:trPr>
      <w:tc>
        <w:tcPr>
          <w:tcW w:w="6260" w:type="dxa"/>
          <w:shd w:val="clear" w:color="auto" w:fill="auto"/>
        </w:tcPr>
        <w:p w14:paraId="2D51EF6F" w14:textId="77777777" w:rsidR="003340B1" w:rsidRPr="00785F18" w:rsidRDefault="003340B1" w:rsidP="00B06D4B">
          <w:pPr>
            <w:rPr>
              <w:rStyle w:val="Huisstijl-Rubricering"/>
            </w:rPr>
          </w:pPr>
        </w:p>
      </w:tc>
    </w:tr>
  </w:tbl>
  <w:p w14:paraId="2D51EF72" w14:textId="77777777" w:rsidR="000D0473" w:rsidRPr="00785F18" w:rsidRDefault="000D0473" w:rsidP="00101F98">
    <w:pPr>
      <w:spacing w:line="240" w:lineRule="auto"/>
      <w:rPr>
        <w:sz w:val="2"/>
        <w:szCs w:val="2"/>
      </w:rPr>
    </w:pPr>
  </w:p>
  <w:p w14:paraId="2D51EF73" w14:textId="77777777" w:rsidR="000D0473" w:rsidRPr="00785F18" w:rsidRDefault="000D0473" w:rsidP="0039744C">
    <w:pPr>
      <w:spacing w:line="240" w:lineRule="auto"/>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3C573B" w14:textId="77777777" w:rsidR="000D0473" w:rsidRPr="00B35331" w:rsidRDefault="000D0473" w:rsidP="00B35331">
      <w:pPr>
        <w:pStyle w:val="Footer"/>
      </w:pPr>
    </w:p>
  </w:footnote>
  <w:footnote w:type="continuationSeparator" w:id="0">
    <w:p w14:paraId="2E219C6F" w14:textId="77777777" w:rsidR="000D0473" w:rsidRDefault="000D0473">
      <w:r>
        <w:continuationSeparator/>
      </w:r>
    </w:p>
    <w:p w14:paraId="5A7B253D" w14:textId="77777777" w:rsidR="000D0473" w:rsidRDefault="000D0473"/>
    <w:p w14:paraId="415089F9" w14:textId="77777777" w:rsidR="000D0473" w:rsidRDefault="000D0473"/>
  </w:footnote>
  <w:footnote w:id="1">
    <w:p w14:paraId="2D51EF79" w14:textId="5097E18B" w:rsidR="000D0473" w:rsidRDefault="000D0473" w:rsidP="005150FC">
      <w:pPr>
        <w:pStyle w:val="FootnoteText"/>
      </w:pPr>
      <w:r>
        <w:rPr>
          <w:rStyle w:val="FootnoteReference"/>
        </w:rPr>
        <w:footnoteRef/>
      </w:r>
      <w:r>
        <w:t xml:space="preserve"> </w:t>
      </w:r>
      <w:r>
        <w:tab/>
        <w:t xml:space="preserve">Binnen MOPAN evalueert Nederland samen met 18 gelijkgezinde landen het functioneren van </w:t>
      </w:r>
      <w:r w:rsidR="00F91F5E">
        <w:t>VN-organisaties</w:t>
      </w:r>
      <w:r>
        <w:t xml:space="preserve"> en Internationale Financiële Instellingen. Vanaf 2015 worden, per keer, in een tweejaarlijkse cyclus, ongeveer 13 organisaties doorgelicht op organisatorisch functioneren en ontwikkelingseffectiviteit. </w:t>
      </w:r>
    </w:p>
  </w:footnote>
  <w:footnote w:id="2">
    <w:p w14:paraId="2D51EF7A" w14:textId="5CF5B05D" w:rsidR="000D0473" w:rsidRPr="00684A42" w:rsidRDefault="000D0473">
      <w:pPr>
        <w:pStyle w:val="FootnoteText"/>
        <w:rPr>
          <w:lang w:val="en-GB"/>
        </w:rPr>
      </w:pPr>
      <w:r w:rsidRPr="008D1BC6">
        <w:rPr>
          <w:lang w:val="en-US"/>
        </w:rPr>
        <w:footnoteRef/>
      </w:r>
      <w:r w:rsidRPr="008D1BC6">
        <w:rPr>
          <w:lang w:val="en-US"/>
        </w:rPr>
        <w:t xml:space="preserve"> UN System-wide Action Plan on Gender Equality and the Empowerment of Women</w:t>
      </w:r>
    </w:p>
  </w:footnote>
  <w:footnote w:id="3">
    <w:p w14:paraId="6D69436B" w14:textId="5CE5CC3E" w:rsidR="000D0473" w:rsidRPr="00684A42" w:rsidRDefault="000D0473">
      <w:pPr>
        <w:pStyle w:val="FootnoteText"/>
        <w:rPr>
          <w:lang w:val="en-US"/>
        </w:rPr>
      </w:pPr>
      <w:r w:rsidRPr="008D1BC6">
        <w:rPr>
          <w:lang w:val="en-US"/>
        </w:rPr>
        <w:footnoteRef/>
      </w:r>
      <w:r w:rsidRPr="00684A42">
        <w:rPr>
          <w:lang w:val="en-US"/>
        </w:rPr>
        <w:t xml:space="preserve"> </w:t>
      </w:r>
      <w:r>
        <w:rPr>
          <w:lang w:val="en-US"/>
        </w:rPr>
        <w:t>Directorate-General for European Civil Protection and Humanitarian Aid Operations</w:t>
      </w:r>
    </w:p>
  </w:footnote>
  <w:footnote w:id="4">
    <w:p w14:paraId="523CEA57" w14:textId="0EF0B78D" w:rsidR="000D0473" w:rsidRPr="00B70059" w:rsidRDefault="000D0473">
      <w:pPr>
        <w:pStyle w:val="FootnoteText"/>
      </w:pPr>
      <w:r>
        <w:rPr>
          <w:rStyle w:val="FootnoteReference"/>
        </w:rPr>
        <w:footnoteRef/>
      </w:r>
      <w:r w:rsidRPr="00B70059">
        <w:t xml:space="preserve"> Het WFP Budget is niet verdeeld in </w:t>
      </w:r>
      <w:proofErr w:type="spellStart"/>
      <w:r w:rsidRPr="00B70059">
        <w:rPr>
          <w:i/>
        </w:rPr>
        <w:t>core</w:t>
      </w:r>
      <w:proofErr w:type="spellEnd"/>
      <w:r w:rsidRPr="00B70059">
        <w:t xml:space="preserve"> en </w:t>
      </w:r>
      <w:r w:rsidRPr="00B70059">
        <w:rPr>
          <w:i/>
        </w:rPr>
        <w:t>non-</w:t>
      </w:r>
      <w:proofErr w:type="spellStart"/>
      <w:r w:rsidRPr="00B70059">
        <w:rPr>
          <w:i/>
        </w:rPr>
        <w:t>core</w:t>
      </w:r>
      <w:proofErr w:type="spellEnd"/>
      <w:r>
        <w:t xml:space="preserve">. </w:t>
      </w:r>
      <w:r w:rsidRPr="00B70059">
        <w:t xml:space="preserve">In de tabel verwijst </w:t>
      </w:r>
      <w:proofErr w:type="spellStart"/>
      <w:r w:rsidRPr="00B70059">
        <w:rPr>
          <w:i/>
        </w:rPr>
        <w:t>core</w:t>
      </w:r>
      <w:proofErr w:type="spellEnd"/>
      <w:r w:rsidRPr="00B70059">
        <w:rPr>
          <w:i/>
        </w:rPr>
        <w:t xml:space="preserve"> </w:t>
      </w:r>
      <w:r w:rsidRPr="00B70059">
        <w:t xml:space="preserve">naar </w:t>
      </w:r>
      <w:proofErr w:type="spellStart"/>
      <w:r w:rsidRPr="00B70059">
        <w:t>ongeoormerkte</w:t>
      </w:r>
      <w:proofErr w:type="spellEnd"/>
      <w:r w:rsidRPr="00B70059">
        <w:t xml:space="preserve"> f</w:t>
      </w:r>
      <w:r>
        <w:t xml:space="preserve">inanciering en </w:t>
      </w:r>
      <w:r w:rsidRPr="00B70059">
        <w:rPr>
          <w:i/>
        </w:rPr>
        <w:t>non-</w:t>
      </w:r>
      <w:proofErr w:type="spellStart"/>
      <w:r w:rsidRPr="00B70059">
        <w:rPr>
          <w:i/>
        </w:rPr>
        <w:t>core</w:t>
      </w:r>
      <w:proofErr w:type="spellEnd"/>
      <w:r w:rsidRPr="00B70059">
        <w:t xml:space="preserve"> naar geoormerkte financiering</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51EF4D" w14:textId="77777777" w:rsidR="000D0473" w:rsidRPr="00785F18" w:rsidRDefault="000D0473">
    <w:pPr>
      <w:pStyle w:val="Header"/>
    </w:pPr>
  </w:p>
  <w:p w14:paraId="2D51EF4E" w14:textId="77777777" w:rsidR="000D0473" w:rsidRPr="00785F18" w:rsidRDefault="000D0473"/>
  <w:p w14:paraId="2D51EF4F" w14:textId="77777777" w:rsidR="000D0473" w:rsidRPr="00785F18" w:rsidRDefault="000D047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51EF50" w14:textId="77777777" w:rsidR="000D0473" w:rsidRPr="00785F18" w:rsidRDefault="000D0473" w:rsidP="000C0FB6">
    <w:pPr>
      <w:pStyle w:val="Header"/>
      <w:rPr>
        <w:rStyle w:val="Huisstijl-Koptekst"/>
        <w:sz w:val="18"/>
      </w:rPr>
    </w:pPr>
  </w:p>
  <w:tbl>
    <w:tblPr>
      <w:tblW w:w="7520" w:type="dxa"/>
      <w:tblLayout w:type="fixed"/>
      <w:tblCellMar>
        <w:left w:w="0" w:type="dxa"/>
        <w:right w:w="0" w:type="dxa"/>
      </w:tblCellMar>
      <w:tblLook w:val="0000" w:firstRow="0" w:lastRow="0" w:firstColumn="0" w:lastColumn="0" w:noHBand="0" w:noVBand="0"/>
    </w:tblPr>
    <w:tblGrid>
      <w:gridCol w:w="7520"/>
    </w:tblGrid>
    <w:tr w:rsidR="000D0473" w:rsidRPr="008517DE" w14:paraId="2D51EF52" w14:textId="77777777" w:rsidTr="002E14E1">
      <w:trPr>
        <w:trHeight w:val="400"/>
      </w:trPr>
      <w:tc>
        <w:tcPr>
          <w:tcW w:w="7520" w:type="dxa"/>
          <w:shd w:val="clear" w:color="auto" w:fill="auto"/>
        </w:tcPr>
        <w:p w14:paraId="2D51EF51" w14:textId="77777777" w:rsidR="000D0473" w:rsidRPr="008517DE" w:rsidRDefault="000D0473" w:rsidP="002E14E1">
          <w:pPr>
            <w:adjustRightInd w:val="0"/>
            <w:spacing w:line="180" w:lineRule="exact"/>
            <w:rPr>
              <w:sz w:val="13"/>
              <w:lang w:val="en-GB"/>
            </w:rPr>
          </w:pPr>
          <w:r>
            <w:rPr>
              <w:rStyle w:val="Huisstijl-Koptekst"/>
            </w:rPr>
            <w:fldChar w:fldCharType="begin"/>
          </w:r>
          <w:r>
            <w:rPr>
              <w:rStyle w:val="Huisstijl-Koptekst"/>
            </w:rPr>
            <w:instrText xml:space="preserve"> Titel </w:instrText>
          </w:r>
          <w:r>
            <w:rPr>
              <w:rStyle w:val="Huisstijl-Koptekst"/>
            </w:rPr>
            <w:fldChar w:fldCharType="separate"/>
          </w:r>
          <w:r w:rsidRPr="00B36546">
            <w:t>Scorecard</w:t>
          </w:r>
          <w:r>
            <w:rPr>
              <w:rStyle w:val="Huisstijl-Koptekst"/>
            </w:rPr>
            <w:fldChar w:fldCharType="end"/>
          </w:r>
          <w:r w:rsidRPr="008517DE">
            <w:rPr>
              <w:rStyle w:val="Huisstijl-Koptekst"/>
              <w:lang w:val="en-GB"/>
            </w:rPr>
            <w:t xml:space="preserve"> | </w:t>
          </w:r>
          <w:r>
            <w:rPr>
              <w:rStyle w:val="Huisstijl-Koptekst"/>
            </w:rPr>
            <w:t xml:space="preserve">World Food </w:t>
          </w:r>
          <w:proofErr w:type="spellStart"/>
          <w:r>
            <w:rPr>
              <w:rStyle w:val="Huisstijl-Koptekst"/>
            </w:rPr>
            <w:t>Programme</w:t>
          </w:r>
          <w:proofErr w:type="spellEnd"/>
        </w:p>
      </w:tc>
    </w:tr>
  </w:tbl>
  <w:p w14:paraId="2D51EF53" w14:textId="77777777" w:rsidR="000D0473" w:rsidRPr="008517DE" w:rsidRDefault="000D0473" w:rsidP="000D7BB7">
    <w:pPr>
      <w:pStyle w:val="Header"/>
      <w:rPr>
        <w:lang w:val="en-GB"/>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51EF5F" w14:textId="5B900D52" w:rsidR="000D0473" w:rsidRPr="00785F18" w:rsidRDefault="000D0473" w:rsidP="006E263E">
    <w:r>
      <w:rPr>
        <w:noProof/>
      </w:rPr>
      <mc:AlternateContent>
        <mc:Choice Requires="wps">
          <w:drawing>
            <wp:anchor distT="0" distB="0" distL="114300" distR="114300" simplePos="0" relativeHeight="251657728" behindDoc="0" locked="0" layoutInCell="1" allowOverlap="1" wp14:anchorId="2D51EF78" wp14:editId="20BF0784">
              <wp:simplePos x="0" y="0"/>
              <wp:positionH relativeFrom="column">
                <wp:posOffset>1386840</wp:posOffset>
              </wp:positionH>
              <wp:positionV relativeFrom="page">
                <wp:posOffset>-87630</wp:posOffset>
              </wp:positionV>
              <wp:extent cx="4025900" cy="174625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5900" cy="1746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6120" w:type="dxa"/>
                            <w:tblLayout w:type="fixed"/>
                            <w:tblCellMar>
                              <w:left w:w="0" w:type="dxa"/>
                              <w:right w:w="0" w:type="dxa"/>
                            </w:tblCellMar>
                            <w:tblLook w:val="0000" w:firstRow="0" w:lastRow="0" w:firstColumn="0" w:lastColumn="0" w:noHBand="0" w:noVBand="0"/>
                          </w:tblPr>
                          <w:tblGrid>
                            <w:gridCol w:w="737"/>
                            <w:gridCol w:w="5383"/>
                          </w:tblGrid>
                          <w:tr w:rsidR="000D0473" w14:paraId="2D51EFD6" w14:textId="77777777">
                            <w:trPr>
                              <w:trHeight w:val="2636"/>
                            </w:trPr>
                            <w:tc>
                              <w:tcPr>
                                <w:tcW w:w="737" w:type="dxa"/>
                                <w:shd w:val="clear" w:color="auto" w:fill="auto"/>
                              </w:tcPr>
                              <w:p w14:paraId="2D51EFD4" w14:textId="77777777" w:rsidR="000D0473" w:rsidRDefault="000D0473" w:rsidP="006E263E">
                                <w:pPr>
                                  <w:spacing w:line="240" w:lineRule="auto"/>
                                </w:pPr>
                                <w:bookmarkStart w:id="4" w:name="bm_BZlogo"/>
                                <w:bookmarkEnd w:id="4"/>
                                <w:r>
                                  <w:rPr>
                                    <w:noProof/>
                                  </w:rPr>
                                  <w:drawing>
                                    <wp:inline distT="0" distB="0" distL="0" distR="0" wp14:anchorId="2D51EFD8" wp14:editId="2D51EFD9">
                                      <wp:extent cx="469265" cy="1582420"/>
                                      <wp:effectExtent l="0" t="0" r="0" b="0"/>
                                      <wp:docPr id="3" name="Picture 1" descr="RO_Beeldmerk_Zw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O_Beeldmerk_Zwar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9265" cy="1582420"/>
                                              </a:xfrm>
                                              <a:prstGeom prst="rect">
                                                <a:avLst/>
                                              </a:prstGeom>
                                              <a:noFill/>
                                              <a:ln>
                                                <a:noFill/>
                                              </a:ln>
                                            </pic:spPr>
                                          </pic:pic>
                                        </a:graphicData>
                                      </a:graphic>
                                    </wp:inline>
                                  </w:drawing>
                                </w:r>
                              </w:p>
                            </w:tc>
                            <w:tc>
                              <w:tcPr>
                                <w:tcW w:w="5383" w:type="dxa"/>
                                <w:shd w:val="clear" w:color="auto" w:fill="auto"/>
                              </w:tcPr>
                              <w:p w14:paraId="2D51EFD5" w14:textId="77777777" w:rsidR="000D0473" w:rsidRDefault="000D0473" w:rsidP="006E263E">
                                <w:pPr>
                                  <w:spacing w:line="240" w:lineRule="auto"/>
                                </w:pPr>
                                <w:r>
                                  <w:rPr>
                                    <w:noProof/>
                                  </w:rPr>
                                  <w:drawing>
                                    <wp:inline distT="0" distB="0" distL="0" distR="0" wp14:anchorId="2D51EFDA" wp14:editId="2D51EFDB">
                                      <wp:extent cx="2440940" cy="1654175"/>
                                      <wp:effectExtent l="0" t="0" r="0" b="0"/>
                                      <wp:docPr id="2" name="Picture 2" descr="BZ_Dut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Z_Dutc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40940" cy="1654175"/>
                                              </a:xfrm>
                                              <a:prstGeom prst="rect">
                                                <a:avLst/>
                                              </a:prstGeom>
                                              <a:noFill/>
                                              <a:ln>
                                                <a:noFill/>
                                              </a:ln>
                                            </pic:spPr>
                                          </pic:pic>
                                        </a:graphicData>
                                      </a:graphic>
                                    </wp:inline>
                                  </w:drawing>
                                </w:r>
                              </w:p>
                            </w:tc>
                          </w:tr>
                        </w:tbl>
                        <w:p w14:paraId="2D51EFD7" w14:textId="77777777" w:rsidR="000D0473" w:rsidRDefault="000D0473" w:rsidP="006E263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51EF78" id="_x0000_t202" coordsize="21600,21600" o:spt="202" path="m,l,21600r21600,l21600,xe">
              <v:stroke joinstyle="miter"/>
              <v:path gradientshapeok="t" o:connecttype="rect"/>
            </v:shapetype>
            <v:shape id="Text Box 1" o:spid="_x0000_s1026" type="#_x0000_t202" style="position:absolute;margin-left:109.2pt;margin-top:-6.9pt;width:317pt;height:13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" filled="f" stroked="f">
              <v:textbox>
                <w:txbxContent>
                  <w:tbl>
                    <w:tblPr>
                      <w:tblW w:w="6120" w:type="dxa"/>
                      <w:tblLayout w:type="fixed"/>
                      <w:tblCellMar>
                        <w:left w:w="0" w:type="dxa"/>
                        <w:right w:w="0" w:type="dxa"/>
                      </w:tblCellMar>
                      <w:tblLook w:val="0000" w:firstRow="0" w:lastRow="0" w:firstColumn="0" w:lastColumn="0" w:noHBand="0" w:noVBand="0"/>
                    </w:tblPr>
                    <w:tblGrid>
                      <w:gridCol w:w="737"/>
                      <w:gridCol w:w="5383"/>
                    </w:tblGrid>
                    <w:tr w:rsidR="000D0473" w14:paraId="2D51EFD6" w14:textId="77777777">
                      <w:trPr>
                        <w:trHeight w:val="2636"/>
                      </w:trPr>
                      <w:tc>
                        <w:tcPr>
                          <w:tcW w:w="737" w:type="dxa"/>
                          <w:shd w:val="clear" w:color="auto" w:fill="auto"/>
                        </w:tcPr>
                        <w:p w14:paraId="2D51EFD4" w14:textId="77777777" w:rsidR="000D0473" w:rsidRDefault="000D0473" w:rsidP="006E263E">
                          <w:pPr>
                            <w:spacing w:line="240" w:lineRule="auto"/>
                          </w:pPr>
                          <w:bookmarkStart w:id="5" w:name="bm_BZlogo"/>
                          <w:bookmarkEnd w:id="5"/>
                          <w:r>
                            <w:rPr>
                              <w:noProof/>
                            </w:rPr>
                            <w:drawing>
                              <wp:inline distT="0" distB="0" distL="0" distR="0" wp14:anchorId="2D51EFD8" wp14:editId="2D51EFD9">
                                <wp:extent cx="469265" cy="1582420"/>
                                <wp:effectExtent l="0" t="0" r="0" b="0"/>
                                <wp:docPr id="3" name="Picture 1" descr="RO_Beeldmerk_Zw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O_Beeldmerk_Zwar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9265" cy="1582420"/>
                                        </a:xfrm>
                                        <a:prstGeom prst="rect">
                                          <a:avLst/>
                                        </a:prstGeom>
                                        <a:noFill/>
                                        <a:ln>
                                          <a:noFill/>
                                        </a:ln>
                                      </pic:spPr>
                                    </pic:pic>
                                  </a:graphicData>
                                </a:graphic>
                              </wp:inline>
                            </w:drawing>
                          </w:r>
                        </w:p>
                      </w:tc>
                      <w:tc>
                        <w:tcPr>
                          <w:tcW w:w="5383" w:type="dxa"/>
                          <w:shd w:val="clear" w:color="auto" w:fill="auto"/>
                        </w:tcPr>
                        <w:p w14:paraId="2D51EFD5" w14:textId="77777777" w:rsidR="000D0473" w:rsidRDefault="000D0473" w:rsidP="006E263E">
                          <w:pPr>
                            <w:spacing w:line="240" w:lineRule="auto"/>
                          </w:pPr>
                          <w:r>
                            <w:rPr>
                              <w:noProof/>
                            </w:rPr>
                            <w:drawing>
                              <wp:inline distT="0" distB="0" distL="0" distR="0" wp14:anchorId="2D51EFDA" wp14:editId="2D51EFDB">
                                <wp:extent cx="2440940" cy="1654175"/>
                                <wp:effectExtent l="0" t="0" r="0" b="0"/>
                                <wp:docPr id="2" name="Picture 2" descr="BZ_Dut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Z_Dutc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40940" cy="1654175"/>
                                        </a:xfrm>
                                        <a:prstGeom prst="rect">
                                          <a:avLst/>
                                        </a:prstGeom>
                                        <a:noFill/>
                                        <a:ln>
                                          <a:noFill/>
                                        </a:ln>
                                      </pic:spPr>
                                    </pic:pic>
                                  </a:graphicData>
                                </a:graphic>
                              </wp:inline>
                            </w:drawing>
                          </w:r>
                        </w:p>
                      </w:tc>
                    </w:tr>
                  </w:tbl>
                  <w:p w14:paraId="2D51EFD7" w14:textId="77777777" w:rsidR="000D0473" w:rsidRDefault="000D0473" w:rsidP="006E263E"/>
                </w:txbxContent>
              </v:textbox>
              <w10:wrap anchory="page"/>
            </v:shape>
          </w:pict>
        </mc:Fallback>
      </mc:AlternateContent>
    </w:r>
  </w:p>
  <w:tbl>
    <w:tblPr>
      <w:tblW w:w="5640" w:type="dxa"/>
      <w:tblLayout w:type="fixed"/>
      <w:tblCellMar>
        <w:left w:w="0" w:type="dxa"/>
        <w:right w:w="0" w:type="dxa"/>
      </w:tblCellMar>
      <w:tblLook w:val="0000" w:firstRow="0" w:lastRow="0" w:firstColumn="0" w:lastColumn="0" w:noHBand="0" w:noVBand="0"/>
    </w:tblPr>
    <w:tblGrid>
      <w:gridCol w:w="5640"/>
    </w:tblGrid>
    <w:tr w:rsidR="000D0473" w:rsidRPr="00785F18" w14:paraId="2D51EF61" w14:textId="77777777" w:rsidTr="000A01F6">
      <w:trPr>
        <w:cantSplit/>
        <w:trHeight w:hRule="exact" w:val="3340"/>
      </w:trPr>
      <w:tc>
        <w:tcPr>
          <w:tcW w:w="5640" w:type="dxa"/>
          <w:shd w:val="clear" w:color="auto" w:fill="auto"/>
        </w:tcPr>
        <w:p w14:paraId="2D51EF60" w14:textId="77777777" w:rsidR="000D0473" w:rsidRPr="00785F18" w:rsidRDefault="000D0473" w:rsidP="00094B45">
          <w:pPr>
            <w:ind w:left="240" w:hanging="240"/>
          </w:pPr>
        </w:p>
      </w:tc>
    </w:tr>
    <w:tr w:rsidR="000D0473" w:rsidRPr="00B36546" w14:paraId="2D51EF67" w14:textId="77777777" w:rsidTr="007B0280">
      <w:trPr>
        <w:cantSplit/>
        <w:trHeight w:hRule="exact" w:val="1440"/>
      </w:trPr>
      <w:tc>
        <w:tcPr>
          <w:tcW w:w="5640" w:type="dxa"/>
          <w:shd w:val="clear" w:color="auto" w:fill="auto"/>
        </w:tcPr>
        <w:p w14:paraId="2D51EF62" w14:textId="77777777" w:rsidR="000D0473" w:rsidRPr="00785F18" w:rsidRDefault="000D0473" w:rsidP="000C0FB6">
          <w:pPr>
            <w:rPr>
              <w:rStyle w:val="Huisstijl-Rubricering"/>
              <w:smallCaps w:val="0"/>
            </w:rPr>
          </w:pPr>
        </w:p>
        <w:p w14:paraId="2D51EF63" w14:textId="77777777" w:rsidR="000D0473" w:rsidRPr="00785F18" w:rsidRDefault="000D0473" w:rsidP="000C0FB6">
          <w:pPr>
            <w:spacing w:line="180" w:lineRule="atLeast"/>
            <w:rPr>
              <w:rStyle w:val="Huisstijl-Rubricering"/>
              <w:smallCaps w:val="0"/>
            </w:rPr>
          </w:pPr>
        </w:p>
        <w:p w14:paraId="2D51EF64" w14:textId="03386F1D" w:rsidR="000D0473" w:rsidRDefault="000D0473" w:rsidP="00B36546">
          <w:pPr>
            <w:pStyle w:val="Title"/>
          </w:pPr>
          <w:bookmarkStart w:id="6" w:name="titel"/>
          <w:r w:rsidRPr="00B36546">
            <w:t>Scorecard</w:t>
          </w:r>
          <w:bookmarkEnd w:id="6"/>
          <w:r>
            <w:t xml:space="preserve"> </w:t>
          </w:r>
          <w:r>
            <w:rPr>
              <w:rStyle w:val="SubtitleChar"/>
            </w:rPr>
            <w:t xml:space="preserve">World Food </w:t>
          </w:r>
          <w:proofErr w:type="spellStart"/>
          <w:r>
            <w:rPr>
              <w:rStyle w:val="SubtitleChar"/>
            </w:rPr>
            <w:t>Programme</w:t>
          </w:r>
          <w:proofErr w:type="spellEnd"/>
        </w:p>
        <w:p w14:paraId="2D51EF65" w14:textId="77777777" w:rsidR="000D0473" w:rsidRPr="00B36546" w:rsidRDefault="000D0473" w:rsidP="00B36546">
          <w:pPr>
            <w:rPr>
              <w:lang w:val="en-GB"/>
            </w:rPr>
          </w:pPr>
        </w:p>
        <w:p w14:paraId="2D51EF66" w14:textId="77777777" w:rsidR="000D0473" w:rsidRPr="00B36546" w:rsidRDefault="000D0473" w:rsidP="00B36546">
          <w:pPr>
            <w:tabs>
              <w:tab w:val="left" w:pos="3281"/>
            </w:tabs>
            <w:rPr>
              <w:lang w:val="en-GB"/>
            </w:rPr>
          </w:pPr>
          <w:r w:rsidRPr="00B36546">
            <w:rPr>
              <w:lang w:val="en-GB"/>
            </w:rPr>
            <w:tab/>
          </w:r>
        </w:p>
      </w:tc>
    </w:tr>
    <w:tr w:rsidR="000D0473" w:rsidRPr="00B36546" w14:paraId="2D51EF69" w14:textId="77777777" w:rsidTr="000A01F6">
      <w:trPr>
        <w:cantSplit/>
        <w:trHeight w:hRule="exact" w:val="240"/>
      </w:trPr>
      <w:tc>
        <w:tcPr>
          <w:tcW w:w="5640" w:type="dxa"/>
          <w:shd w:val="clear" w:color="auto" w:fill="auto"/>
        </w:tcPr>
        <w:p w14:paraId="2D51EF68" w14:textId="77777777" w:rsidR="000D0473" w:rsidRPr="00B36546" w:rsidRDefault="000D0473" w:rsidP="00B60860">
          <w:pPr>
            <w:rPr>
              <w:lang w:val="en-GB"/>
            </w:rPr>
          </w:pPr>
        </w:p>
      </w:tc>
    </w:tr>
    <w:tr w:rsidR="000D0473" w:rsidRPr="00B36546" w14:paraId="2D51EF6B" w14:textId="77777777" w:rsidTr="000A01F6">
      <w:trPr>
        <w:cantSplit/>
        <w:trHeight w:hRule="exact" w:val="480"/>
      </w:trPr>
      <w:tc>
        <w:tcPr>
          <w:tcW w:w="5640" w:type="dxa"/>
          <w:shd w:val="clear" w:color="auto" w:fill="auto"/>
        </w:tcPr>
        <w:p w14:paraId="2D51EF6A" w14:textId="77777777" w:rsidR="000D0473" w:rsidRPr="00B36546" w:rsidRDefault="000D0473" w:rsidP="00EF0ED5">
          <w:pPr>
            <w:rPr>
              <w:lang w:val="en-GB"/>
            </w:rPr>
          </w:pPr>
        </w:p>
      </w:tc>
    </w:tr>
  </w:tbl>
  <w:p w14:paraId="2D51EF6C" w14:textId="6E96B386" w:rsidR="000D0473" w:rsidRDefault="000D0473">
    <w:pPr>
      <w:rPr>
        <w:lang w:val="en-GB"/>
      </w:rPr>
    </w:pPr>
    <w:r>
      <w:rPr>
        <w:lang w:val="en-GB"/>
      </w:rPr>
      <w:t>Datum</w:t>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t xml:space="preserve">15 </w:t>
    </w:r>
    <w:proofErr w:type="spellStart"/>
    <w:r>
      <w:rPr>
        <w:lang w:val="en-GB"/>
      </w:rPr>
      <w:t>augustus</w:t>
    </w:r>
    <w:proofErr w:type="spellEnd"/>
    <w:r>
      <w:rPr>
        <w:lang w:val="en-GB"/>
      </w:rPr>
      <w:t xml:space="preserve"> 2017</w:t>
    </w:r>
  </w:p>
  <w:p w14:paraId="2D51EF6D" w14:textId="77777777" w:rsidR="000D0473" w:rsidRPr="00B36546" w:rsidRDefault="000D0473">
    <w:pPr>
      <w:rPr>
        <w:lang w:val="en-GB"/>
      </w:rPr>
    </w:pPr>
  </w:p>
  <w:p w14:paraId="2D51EF6E" w14:textId="77777777" w:rsidR="000D0473" w:rsidRPr="00785F18" w:rsidRDefault="000D0473" w:rsidP="0006027D"/>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51EF74" w14:textId="77777777" w:rsidR="000D0473" w:rsidRPr="00785F18" w:rsidRDefault="000D0473" w:rsidP="00E51959">
    <w:pPr>
      <w:pStyle w:val="Header"/>
      <w:rPr>
        <w:rStyle w:val="Huisstijl-Koptekst"/>
        <w:sz w:val="18"/>
      </w:rPr>
    </w:pPr>
  </w:p>
  <w:tbl>
    <w:tblPr>
      <w:tblW w:w="7520" w:type="dxa"/>
      <w:tblLayout w:type="fixed"/>
      <w:tblCellMar>
        <w:left w:w="0" w:type="dxa"/>
        <w:right w:w="0" w:type="dxa"/>
      </w:tblCellMar>
      <w:tblLook w:val="0000" w:firstRow="0" w:lastRow="0" w:firstColumn="0" w:lastColumn="0" w:noHBand="0" w:noVBand="0"/>
    </w:tblPr>
    <w:tblGrid>
      <w:gridCol w:w="7520"/>
    </w:tblGrid>
    <w:tr w:rsidR="000D0473" w:rsidRPr="008517DE" w14:paraId="2D51EF76" w14:textId="77777777" w:rsidTr="00B06D4B">
      <w:trPr>
        <w:trHeight w:val="400"/>
      </w:trPr>
      <w:tc>
        <w:tcPr>
          <w:tcW w:w="7520" w:type="dxa"/>
          <w:shd w:val="clear" w:color="auto" w:fill="auto"/>
        </w:tcPr>
        <w:p w14:paraId="2D51EF75" w14:textId="77777777" w:rsidR="000D0473" w:rsidRPr="008517DE" w:rsidRDefault="00223974" w:rsidP="00B06D4B">
          <w:pPr>
            <w:adjustRightInd w:val="0"/>
            <w:spacing w:line="180" w:lineRule="exact"/>
            <w:rPr>
              <w:sz w:val="13"/>
              <w:lang w:val="en-GB"/>
            </w:rPr>
          </w:pPr>
          <w:r>
            <w:fldChar w:fldCharType="begin"/>
          </w:r>
          <w:r>
            <w:instrText xml:space="preserve"> REF  titel  \* MERGEFORMAT </w:instrText>
          </w:r>
          <w:r>
            <w:fldChar w:fldCharType="separate"/>
          </w:r>
          <w:r w:rsidR="000D0473" w:rsidRPr="00D94DB4">
            <w:rPr>
              <w:rStyle w:val="Huisstijl-Koptekst"/>
              <w:sz w:val="18"/>
              <w:szCs w:val="18"/>
              <w:lang w:val="en-GB"/>
            </w:rPr>
            <w:t>Scorecard</w:t>
          </w:r>
          <w:r>
            <w:rPr>
              <w:rStyle w:val="Huisstijl-Koptekst"/>
              <w:sz w:val="18"/>
              <w:szCs w:val="18"/>
              <w:lang w:val="en-GB"/>
            </w:rPr>
            <w:fldChar w:fldCharType="end"/>
          </w:r>
          <w:r w:rsidR="000D0473" w:rsidRPr="007B163C">
            <w:rPr>
              <w:rStyle w:val="Huisstijl-Koptekst"/>
              <w:lang w:val="en-GB"/>
            </w:rPr>
            <w:t xml:space="preserve"> | </w:t>
          </w:r>
          <w:proofErr w:type="spellStart"/>
          <w:r w:rsidR="000D0473">
            <w:rPr>
              <w:rStyle w:val="Huisstijl-Koptekst"/>
              <w:lang w:val="en-GB"/>
            </w:rPr>
            <w:t>Organisatie</w:t>
          </w:r>
          <w:proofErr w:type="spellEnd"/>
          <w:r w:rsidR="000D0473" w:rsidRPr="008517DE">
            <w:rPr>
              <w:sz w:val="13"/>
              <w:lang w:val="en-GB"/>
            </w:rPr>
            <w:t xml:space="preserve"> </w:t>
          </w:r>
        </w:p>
      </w:tc>
    </w:tr>
  </w:tbl>
  <w:p w14:paraId="2D51EF77" w14:textId="77777777" w:rsidR="000D0473" w:rsidRPr="008517DE" w:rsidRDefault="000D0473" w:rsidP="00E51959">
    <w:pPr>
      <w:pStyle w:val="Heade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3E521D6A"/>
    <w:lvl w:ilvl="0">
      <w:start w:val="1"/>
      <w:numFmt w:val="decimal"/>
      <w:pStyle w:val="ListNumber2"/>
      <w:lvlText w:val="%1"/>
      <w:lvlJc w:val="left"/>
      <w:pPr>
        <w:tabs>
          <w:tab w:val="num" w:pos="661"/>
        </w:tabs>
        <w:ind w:left="661" w:hanging="227"/>
      </w:pPr>
      <w:rPr>
        <w:rFonts w:hint="default"/>
        <w:color w:val="auto"/>
      </w:rPr>
    </w:lvl>
  </w:abstractNum>
  <w:abstractNum w:abstractNumId="1" w15:restartNumberingAfterBreak="0">
    <w:nsid w:val="05BC3F72"/>
    <w:multiLevelType w:val="hybridMultilevel"/>
    <w:tmpl w:val="9D22BE7C"/>
    <w:lvl w:ilvl="0" w:tplc="C512BC82">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60B092F"/>
    <w:multiLevelType w:val="multilevel"/>
    <w:tmpl w:val="C6A2B8B4"/>
    <w:styleLink w:val="StyleNumbered"/>
    <w:lvl w:ilvl="0">
      <w:start w:val="1"/>
      <w:numFmt w:val="decimal"/>
      <w:lvlText w:val="%1."/>
      <w:lvlJc w:val="left"/>
      <w:pPr>
        <w:tabs>
          <w:tab w:val="num" w:pos="227"/>
        </w:tabs>
        <w:ind w:left="227" w:hanging="227"/>
      </w:pPr>
      <w:rPr>
        <w:rFonts w:ascii="Verdana" w:hAnsi="Verdana" w:hint="default"/>
        <w:sz w:val="18"/>
      </w:rPr>
    </w:lvl>
    <w:lvl w:ilvl="1">
      <w:start w:val="1"/>
      <w:numFmt w:val="bullet"/>
      <w:lvlText w:val="-"/>
      <w:lvlJc w:val="left"/>
      <w:pPr>
        <w:tabs>
          <w:tab w:val="num" w:pos="227"/>
        </w:tabs>
        <w:ind w:left="454" w:hanging="227"/>
      </w:pPr>
      <w:rPr>
        <w:rFonts w:ascii="Verdana" w:hAnsi="Verdana" w:hint="default"/>
      </w:rPr>
    </w:lvl>
    <w:lvl w:ilvl="2">
      <w:start w:val="1"/>
      <w:numFmt w:val="bullet"/>
      <w:lvlText w:val="•"/>
      <w:lvlJc w:val="left"/>
      <w:pPr>
        <w:tabs>
          <w:tab w:val="num" w:pos="227"/>
        </w:tabs>
        <w:ind w:left="680" w:hanging="226"/>
      </w:pPr>
      <w:rPr>
        <w:rFonts w:ascii="Verdana" w:hAnsi="Verdana" w:hint="default"/>
        <w:color w:val="auto"/>
      </w:rPr>
    </w:lvl>
    <w:lvl w:ilvl="3">
      <w:start w:val="1"/>
      <w:numFmt w:val="bullet"/>
      <w:lvlText w:val="-"/>
      <w:lvlJc w:val="left"/>
      <w:pPr>
        <w:tabs>
          <w:tab w:val="num" w:pos="227"/>
        </w:tabs>
        <w:ind w:left="907" w:hanging="227"/>
      </w:pPr>
      <w:rPr>
        <w:rFonts w:ascii="Verdana" w:hAnsi="Verdana" w:hint="default"/>
        <w:color w:val="auto"/>
      </w:rPr>
    </w:lvl>
    <w:lvl w:ilvl="4">
      <w:start w:val="1"/>
      <w:numFmt w:val="bullet"/>
      <w:lvlText w:val="•"/>
      <w:lvlJc w:val="left"/>
      <w:pPr>
        <w:tabs>
          <w:tab w:val="num" w:pos="227"/>
        </w:tabs>
        <w:ind w:left="1134" w:hanging="227"/>
      </w:pPr>
      <w:rPr>
        <w:rFonts w:ascii="Verdana" w:hAnsi="Verdana" w:hint="default"/>
        <w:color w:val="auto"/>
      </w:rPr>
    </w:lvl>
    <w:lvl w:ilvl="5">
      <w:start w:val="1"/>
      <w:numFmt w:val="bullet"/>
      <w:lvlText w:val="-"/>
      <w:lvlJc w:val="left"/>
      <w:pPr>
        <w:tabs>
          <w:tab w:val="num" w:pos="227"/>
        </w:tabs>
        <w:ind w:left="1361" w:hanging="227"/>
      </w:pPr>
      <w:rPr>
        <w:rFonts w:ascii="Verdana" w:hAnsi="Verdana" w:hint="default"/>
        <w:color w:val="auto"/>
      </w:rPr>
    </w:lvl>
    <w:lvl w:ilvl="6">
      <w:start w:val="1"/>
      <w:numFmt w:val="bullet"/>
      <w:lvlText w:val="•"/>
      <w:lvlJc w:val="left"/>
      <w:pPr>
        <w:tabs>
          <w:tab w:val="num" w:pos="227"/>
        </w:tabs>
        <w:ind w:left="1588" w:hanging="227"/>
      </w:pPr>
      <w:rPr>
        <w:rFonts w:ascii="Verdana" w:hAnsi="Verdana" w:hint="default"/>
        <w:color w:val="auto"/>
      </w:rPr>
    </w:lvl>
    <w:lvl w:ilvl="7">
      <w:start w:val="1"/>
      <w:numFmt w:val="bullet"/>
      <w:lvlText w:val="-"/>
      <w:lvlJc w:val="left"/>
      <w:pPr>
        <w:tabs>
          <w:tab w:val="num" w:pos="227"/>
        </w:tabs>
        <w:ind w:left="1814" w:hanging="226"/>
      </w:pPr>
      <w:rPr>
        <w:rFonts w:ascii="Verdana" w:hAnsi="Verdana" w:hint="default"/>
        <w:color w:val="auto"/>
      </w:rPr>
    </w:lvl>
    <w:lvl w:ilvl="8">
      <w:start w:val="1"/>
      <w:numFmt w:val="bullet"/>
      <w:lvlText w:val="•"/>
      <w:lvlJc w:val="left"/>
      <w:pPr>
        <w:tabs>
          <w:tab w:val="num" w:pos="227"/>
        </w:tabs>
        <w:ind w:left="2041" w:hanging="227"/>
      </w:pPr>
      <w:rPr>
        <w:rFonts w:ascii="Verdana" w:hAnsi="Verdana" w:hint="default"/>
        <w:color w:val="auto"/>
      </w:rPr>
    </w:lvl>
  </w:abstractNum>
  <w:abstractNum w:abstractNumId="3" w15:restartNumberingAfterBreak="0">
    <w:nsid w:val="0C320B0A"/>
    <w:multiLevelType w:val="hybridMultilevel"/>
    <w:tmpl w:val="F8FA423C"/>
    <w:lvl w:ilvl="0" w:tplc="FB5A3B28">
      <w:start w:val="3"/>
      <w:numFmt w:val="decimal"/>
      <w:lvlText w:val="%1"/>
      <w:lvlJc w:val="left"/>
      <w:pPr>
        <w:ind w:left="-802" w:hanging="360"/>
      </w:pPr>
      <w:rPr>
        <w:rFonts w:hint="default"/>
      </w:rPr>
    </w:lvl>
    <w:lvl w:ilvl="1" w:tplc="04130019" w:tentative="1">
      <w:start w:val="1"/>
      <w:numFmt w:val="lowerLetter"/>
      <w:lvlText w:val="%2."/>
      <w:lvlJc w:val="left"/>
      <w:pPr>
        <w:ind w:left="-82" w:hanging="360"/>
      </w:pPr>
    </w:lvl>
    <w:lvl w:ilvl="2" w:tplc="0413001B" w:tentative="1">
      <w:start w:val="1"/>
      <w:numFmt w:val="lowerRoman"/>
      <w:lvlText w:val="%3."/>
      <w:lvlJc w:val="right"/>
      <w:pPr>
        <w:ind w:left="638" w:hanging="180"/>
      </w:pPr>
    </w:lvl>
    <w:lvl w:ilvl="3" w:tplc="0413000F" w:tentative="1">
      <w:start w:val="1"/>
      <w:numFmt w:val="decimal"/>
      <w:lvlText w:val="%4."/>
      <w:lvlJc w:val="left"/>
      <w:pPr>
        <w:ind w:left="1358" w:hanging="360"/>
      </w:pPr>
    </w:lvl>
    <w:lvl w:ilvl="4" w:tplc="04130019" w:tentative="1">
      <w:start w:val="1"/>
      <w:numFmt w:val="lowerLetter"/>
      <w:lvlText w:val="%5."/>
      <w:lvlJc w:val="left"/>
      <w:pPr>
        <w:ind w:left="2078" w:hanging="360"/>
      </w:pPr>
    </w:lvl>
    <w:lvl w:ilvl="5" w:tplc="0413001B" w:tentative="1">
      <w:start w:val="1"/>
      <w:numFmt w:val="lowerRoman"/>
      <w:lvlText w:val="%6."/>
      <w:lvlJc w:val="right"/>
      <w:pPr>
        <w:ind w:left="2798" w:hanging="180"/>
      </w:pPr>
    </w:lvl>
    <w:lvl w:ilvl="6" w:tplc="0413000F" w:tentative="1">
      <w:start w:val="1"/>
      <w:numFmt w:val="decimal"/>
      <w:lvlText w:val="%7."/>
      <w:lvlJc w:val="left"/>
      <w:pPr>
        <w:ind w:left="3518" w:hanging="360"/>
      </w:pPr>
    </w:lvl>
    <w:lvl w:ilvl="7" w:tplc="04130019" w:tentative="1">
      <w:start w:val="1"/>
      <w:numFmt w:val="lowerLetter"/>
      <w:lvlText w:val="%8."/>
      <w:lvlJc w:val="left"/>
      <w:pPr>
        <w:ind w:left="4238" w:hanging="360"/>
      </w:pPr>
    </w:lvl>
    <w:lvl w:ilvl="8" w:tplc="0413001B" w:tentative="1">
      <w:start w:val="1"/>
      <w:numFmt w:val="lowerRoman"/>
      <w:lvlText w:val="%9."/>
      <w:lvlJc w:val="right"/>
      <w:pPr>
        <w:ind w:left="4958" w:hanging="180"/>
      </w:pPr>
    </w:lvl>
  </w:abstractNum>
  <w:abstractNum w:abstractNumId="4" w15:restartNumberingAfterBreak="0">
    <w:nsid w:val="10E54B47"/>
    <w:multiLevelType w:val="multilevel"/>
    <w:tmpl w:val="6D5CBB06"/>
    <w:lvl w:ilvl="0">
      <w:start w:val="2"/>
      <w:numFmt w:val="decimal"/>
      <w:lvlText w:val="%1"/>
      <w:lvlJc w:val="left"/>
      <w:pPr>
        <w:ind w:left="360" w:hanging="360"/>
      </w:pPr>
      <w:rPr>
        <w:rFonts w:hint="default"/>
      </w:rPr>
    </w:lvl>
    <w:lvl w:ilvl="1">
      <w:start w:val="1"/>
      <w:numFmt w:val="decimal"/>
      <w:lvlText w:val="%1.%2"/>
      <w:lvlJc w:val="left"/>
      <w:pPr>
        <w:ind w:left="-802" w:hanging="360"/>
      </w:pPr>
      <w:rPr>
        <w:rFonts w:hint="default"/>
      </w:rPr>
    </w:lvl>
    <w:lvl w:ilvl="2">
      <w:start w:val="1"/>
      <w:numFmt w:val="decimal"/>
      <w:lvlText w:val="%1.%2.%3"/>
      <w:lvlJc w:val="left"/>
      <w:pPr>
        <w:ind w:left="-1604" w:hanging="720"/>
      </w:pPr>
      <w:rPr>
        <w:rFonts w:hint="default"/>
      </w:rPr>
    </w:lvl>
    <w:lvl w:ilvl="3">
      <w:start w:val="1"/>
      <w:numFmt w:val="decimal"/>
      <w:lvlText w:val="%1.%2.%3.%4"/>
      <w:lvlJc w:val="left"/>
      <w:pPr>
        <w:ind w:left="-2406" w:hanging="1080"/>
      </w:pPr>
      <w:rPr>
        <w:rFonts w:hint="default"/>
      </w:rPr>
    </w:lvl>
    <w:lvl w:ilvl="4">
      <w:start w:val="1"/>
      <w:numFmt w:val="decimal"/>
      <w:lvlText w:val="%1.%2.%3.%4.%5"/>
      <w:lvlJc w:val="left"/>
      <w:pPr>
        <w:ind w:left="-3568" w:hanging="1080"/>
      </w:pPr>
      <w:rPr>
        <w:rFonts w:hint="default"/>
      </w:rPr>
    </w:lvl>
    <w:lvl w:ilvl="5">
      <w:start w:val="1"/>
      <w:numFmt w:val="decimal"/>
      <w:lvlText w:val="%1.%2.%3.%4.%5.%6"/>
      <w:lvlJc w:val="left"/>
      <w:pPr>
        <w:ind w:left="-4370" w:hanging="1440"/>
      </w:pPr>
      <w:rPr>
        <w:rFonts w:hint="default"/>
      </w:rPr>
    </w:lvl>
    <w:lvl w:ilvl="6">
      <w:start w:val="1"/>
      <w:numFmt w:val="decimal"/>
      <w:lvlText w:val="%1.%2.%3.%4.%5.%6.%7"/>
      <w:lvlJc w:val="left"/>
      <w:pPr>
        <w:ind w:left="-5532" w:hanging="1440"/>
      </w:pPr>
      <w:rPr>
        <w:rFonts w:hint="default"/>
      </w:rPr>
    </w:lvl>
    <w:lvl w:ilvl="7">
      <w:start w:val="1"/>
      <w:numFmt w:val="decimal"/>
      <w:lvlText w:val="%1.%2.%3.%4.%5.%6.%7.%8"/>
      <w:lvlJc w:val="left"/>
      <w:pPr>
        <w:ind w:left="-6334" w:hanging="1800"/>
      </w:pPr>
      <w:rPr>
        <w:rFonts w:hint="default"/>
      </w:rPr>
    </w:lvl>
    <w:lvl w:ilvl="8">
      <w:start w:val="1"/>
      <w:numFmt w:val="decimal"/>
      <w:lvlText w:val="%1.%2.%3.%4.%5.%6.%7.%8.%9"/>
      <w:lvlJc w:val="left"/>
      <w:pPr>
        <w:ind w:left="-7136" w:hanging="2160"/>
      </w:pPr>
      <w:rPr>
        <w:rFonts w:hint="default"/>
      </w:rPr>
    </w:lvl>
  </w:abstractNum>
  <w:abstractNum w:abstractNumId="5" w15:restartNumberingAfterBreak="0">
    <w:nsid w:val="11326B96"/>
    <w:multiLevelType w:val="hybridMultilevel"/>
    <w:tmpl w:val="FEE89646"/>
    <w:lvl w:ilvl="0" w:tplc="E06E71C2">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E6350D4"/>
    <w:multiLevelType w:val="hybridMultilevel"/>
    <w:tmpl w:val="2B0E3134"/>
    <w:lvl w:ilvl="0" w:tplc="E47CE5BE">
      <w:start w:val="13"/>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37A03B90"/>
    <w:multiLevelType w:val="hybridMultilevel"/>
    <w:tmpl w:val="EC7CF522"/>
    <w:lvl w:ilvl="0" w:tplc="BAAC0C54">
      <w:start w:val="17"/>
      <w:numFmt w:val="decimal"/>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3ADC3C4A"/>
    <w:multiLevelType w:val="multilevel"/>
    <w:tmpl w:val="9F0C18F8"/>
    <w:lvl w:ilvl="0">
      <w:start w:val="1"/>
      <w:numFmt w:val="decimal"/>
      <w:pStyle w:val="ListNumber"/>
      <w:lvlText w:val="%1."/>
      <w:lvlJc w:val="left"/>
      <w:pPr>
        <w:tabs>
          <w:tab w:val="num" w:pos="227"/>
        </w:tabs>
        <w:ind w:left="227" w:hanging="227"/>
      </w:pPr>
      <w:rPr>
        <w:rFonts w:ascii="Verdana" w:hAnsi="Verdana" w:hint="default"/>
        <w:sz w:val="18"/>
      </w:rPr>
    </w:lvl>
    <w:lvl w:ilvl="1">
      <w:start w:val="1"/>
      <w:numFmt w:val="bullet"/>
      <w:lvlText w:val="-"/>
      <w:lvlJc w:val="left"/>
      <w:pPr>
        <w:tabs>
          <w:tab w:val="num" w:pos="227"/>
        </w:tabs>
        <w:ind w:left="454" w:hanging="227"/>
      </w:pPr>
      <w:rPr>
        <w:rFonts w:ascii="Verdana" w:hAnsi="Verdana" w:hint="default"/>
      </w:rPr>
    </w:lvl>
    <w:lvl w:ilvl="2">
      <w:start w:val="1"/>
      <w:numFmt w:val="lowerRoman"/>
      <w:lvlText w:val="%3."/>
      <w:lvlJc w:val="right"/>
      <w:pPr>
        <w:tabs>
          <w:tab w:val="num" w:pos="2520"/>
        </w:tabs>
        <w:ind w:left="2520" w:hanging="180"/>
      </w:pPr>
      <w:rPr>
        <w:rFonts w:hint="default"/>
      </w:rPr>
    </w:lvl>
    <w:lvl w:ilvl="3">
      <w:numFmt w:val="none"/>
      <w:lvlText w:val=""/>
      <w:lvlJc w:val="left"/>
      <w:pPr>
        <w:tabs>
          <w:tab w:val="num" w:pos="360"/>
        </w:tabs>
        <w:ind w:left="0" w:firstLine="0"/>
      </w:pPr>
      <w:rPr>
        <w:rFonts w:hint="default"/>
      </w:rPr>
    </w:lvl>
    <w:lvl w:ilvl="4">
      <w:numFmt w:val="none"/>
      <w:lvlText w:val=""/>
      <w:lvlJc w:val="left"/>
      <w:pPr>
        <w:tabs>
          <w:tab w:val="num" w:pos="360"/>
        </w:tabs>
        <w:ind w:left="0" w:firstLine="0"/>
      </w:pPr>
      <w:rPr>
        <w:rFonts w:hint="default"/>
      </w:rPr>
    </w:lvl>
    <w:lvl w:ilvl="5">
      <w:numFmt w:val="none"/>
      <w:lvlText w:val=""/>
      <w:lvlJc w:val="left"/>
      <w:pPr>
        <w:tabs>
          <w:tab w:val="num" w:pos="360"/>
        </w:tabs>
        <w:ind w:left="0" w:firstLine="0"/>
      </w:pPr>
      <w:rPr>
        <w:rFonts w:hint="default"/>
      </w:rPr>
    </w:lvl>
    <w:lvl w:ilvl="6">
      <w:numFmt w:val="none"/>
      <w:lvlText w:val=""/>
      <w:lvlJc w:val="left"/>
      <w:pPr>
        <w:tabs>
          <w:tab w:val="num" w:pos="360"/>
        </w:tabs>
        <w:ind w:left="0" w:firstLine="0"/>
      </w:pPr>
      <w:rPr>
        <w:rFonts w:hint="default"/>
      </w:rPr>
    </w:lvl>
    <w:lvl w:ilvl="7">
      <w:numFmt w:val="none"/>
      <w:lvlText w:val=""/>
      <w:lvlJc w:val="left"/>
      <w:pPr>
        <w:tabs>
          <w:tab w:val="num" w:pos="360"/>
        </w:tabs>
        <w:ind w:left="0" w:firstLine="0"/>
      </w:pPr>
      <w:rPr>
        <w:rFonts w:hint="default"/>
      </w:rPr>
    </w:lvl>
    <w:lvl w:ilvl="8">
      <w:numFmt w:val="none"/>
      <w:lvlText w:val=""/>
      <w:lvlJc w:val="left"/>
      <w:pPr>
        <w:tabs>
          <w:tab w:val="num" w:pos="360"/>
        </w:tabs>
        <w:ind w:left="0" w:firstLine="0"/>
      </w:pPr>
      <w:rPr>
        <w:rFonts w:hint="default"/>
      </w:rPr>
    </w:lvl>
  </w:abstractNum>
  <w:abstractNum w:abstractNumId="9" w15:restartNumberingAfterBreak="0">
    <w:nsid w:val="3C152933"/>
    <w:multiLevelType w:val="hybridMultilevel"/>
    <w:tmpl w:val="412CC458"/>
    <w:lvl w:ilvl="0" w:tplc="068C9C6A">
      <w:start w:val="15"/>
      <w:numFmt w:val="decimal"/>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42C82D1B"/>
    <w:multiLevelType w:val="hybridMultilevel"/>
    <w:tmpl w:val="4DFAE372"/>
    <w:lvl w:ilvl="0" w:tplc="BCFC923C">
      <w:start w:val="15"/>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493950DC"/>
    <w:multiLevelType w:val="hybridMultilevel"/>
    <w:tmpl w:val="AEFCA3FE"/>
    <w:lvl w:ilvl="0" w:tplc="AA10C92E">
      <w:start w:val="2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4BCC13ED"/>
    <w:multiLevelType w:val="hybridMultilevel"/>
    <w:tmpl w:val="3F2E4786"/>
    <w:lvl w:ilvl="0" w:tplc="E06E71C2">
      <w:start w:val="9"/>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52107AA9"/>
    <w:multiLevelType w:val="hybridMultilevel"/>
    <w:tmpl w:val="2E1A297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5D140B9B"/>
    <w:multiLevelType w:val="hybridMultilevel"/>
    <w:tmpl w:val="2B70CA30"/>
    <w:lvl w:ilvl="0" w:tplc="BCFC923C">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5EED7C05"/>
    <w:multiLevelType w:val="hybridMultilevel"/>
    <w:tmpl w:val="2604E914"/>
    <w:lvl w:ilvl="0" w:tplc="BCFC923C">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5FD11CC6"/>
    <w:multiLevelType w:val="multilevel"/>
    <w:tmpl w:val="3F7A972E"/>
    <w:lvl w:ilvl="0">
      <w:start w:val="1"/>
      <w:numFmt w:val="decimal"/>
      <w:lvlText w:val="%1"/>
      <w:lvlJc w:val="left"/>
      <w:pPr>
        <w:tabs>
          <w:tab w:val="num" w:pos="360"/>
        </w:tabs>
        <w:ind w:left="360" w:hanging="1160"/>
      </w:pPr>
      <w:rPr>
        <w:rFonts w:ascii="Verdana" w:hAnsi="Verdana" w:hint="default"/>
        <w:b/>
        <w:i w:val="0"/>
        <w:sz w:val="18"/>
      </w:rPr>
    </w:lvl>
    <w:lvl w:ilvl="1">
      <w:start w:val="1"/>
      <w:numFmt w:val="decimal"/>
      <w:lvlText w:val="%1.%2"/>
      <w:lvlJc w:val="left"/>
      <w:pPr>
        <w:tabs>
          <w:tab w:val="num" w:pos="0"/>
        </w:tabs>
        <w:ind w:left="0" w:hanging="1160"/>
      </w:pPr>
      <w:rPr>
        <w:rFonts w:ascii="Verdana" w:hAnsi="Verdana" w:hint="default"/>
        <w:b w:val="0"/>
        <w:i w:val="0"/>
        <w:sz w:val="18"/>
      </w:rPr>
    </w:lvl>
    <w:lvl w:ilvl="2">
      <w:start w:val="1"/>
      <w:numFmt w:val="decimal"/>
      <w:lvlText w:val="%1.%2.%3"/>
      <w:lvlJc w:val="left"/>
      <w:pPr>
        <w:tabs>
          <w:tab w:val="num" w:pos="0"/>
        </w:tabs>
        <w:ind w:left="0" w:hanging="1160"/>
      </w:pPr>
      <w:rPr>
        <w:rFonts w:hint="default"/>
      </w:rPr>
    </w:lvl>
    <w:lvl w:ilvl="3">
      <w:start w:val="1"/>
      <w:numFmt w:val="decimal"/>
      <w:lvlText w:val="%1.%2.%3.%4"/>
      <w:lvlJc w:val="left"/>
      <w:pPr>
        <w:tabs>
          <w:tab w:val="num" w:pos="540"/>
        </w:tabs>
        <w:ind w:left="540" w:hanging="1160"/>
      </w:pPr>
      <w:rPr>
        <w:rFonts w:hint="default"/>
      </w:rPr>
    </w:lvl>
    <w:lvl w:ilvl="4">
      <w:start w:val="1"/>
      <w:numFmt w:val="decimal"/>
      <w:lvlText w:val="%1.%2.%3.%4.%5"/>
      <w:lvlJc w:val="left"/>
      <w:pPr>
        <w:tabs>
          <w:tab w:val="num" w:pos="388"/>
        </w:tabs>
        <w:ind w:left="388" w:hanging="1008"/>
      </w:pPr>
      <w:rPr>
        <w:rFonts w:hint="default"/>
      </w:rPr>
    </w:lvl>
    <w:lvl w:ilvl="5">
      <w:start w:val="1"/>
      <w:numFmt w:val="decimal"/>
      <w:pStyle w:val="Heading6"/>
      <w:lvlText w:val="%1.%2.%3.%4.%5.%6"/>
      <w:lvlJc w:val="left"/>
      <w:pPr>
        <w:tabs>
          <w:tab w:val="num" w:pos="532"/>
        </w:tabs>
        <w:ind w:left="532" w:hanging="1152"/>
      </w:pPr>
      <w:rPr>
        <w:rFonts w:hint="default"/>
      </w:rPr>
    </w:lvl>
    <w:lvl w:ilvl="6">
      <w:start w:val="1"/>
      <w:numFmt w:val="decimal"/>
      <w:pStyle w:val="Heading7"/>
      <w:lvlText w:val="%1.%2.%3.%4.%5.%6.%7"/>
      <w:lvlJc w:val="left"/>
      <w:pPr>
        <w:tabs>
          <w:tab w:val="num" w:pos="676"/>
        </w:tabs>
        <w:ind w:left="676" w:hanging="1296"/>
      </w:pPr>
      <w:rPr>
        <w:rFonts w:hint="default"/>
      </w:rPr>
    </w:lvl>
    <w:lvl w:ilvl="7">
      <w:start w:val="1"/>
      <w:numFmt w:val="decimal"/>
      <w:pStyle w:val="Heading8"/>
      <w:lvlText w:val="%8"/>
      <w:lvlJc w:val="left"/>
      <w:pPr>
        <w:tabs>
          <w:tab w:val="num" w:pos="820"/>
        </w:tabs>
        <w:ind w:left="820" w:hanging="1440"/>
      </w:pPr>
      <w:rPr>
        <w:rFonts w:hint="default"/>
      </w:rPr>
    </w:lvl>
    <w:lvl w:ilvl="8">
      <w:start w:val="1"/>
      <w:numFmt w:val="decimal"/>
      <w:pStyle w:val="Heading9"/>
      <w:lvlText w:val="%8.%9"/>
      <w:lvlJc w:val="left"/>
      <w:pPr>
        <w:tabs>
          <w:tab w:val="num" w:pos="964"/>
        </w:tabs>
        <w:ind w:left="964" w:hanging="1584"/>
      </w:pPr>
      <w:rPr>
        <w:rFonts w:hint="default"/>
      </w:rPr>
    </w:lvl>
  </w:abstractNum>
  <w:abstractNum w:abstractNumId="17" w15:restartNumberingAfterBreak="0">
    <w:nsid w:val="65441EC1"/>
    <w:multiLevelType w:val="multilevel"/>
    <w:tmpl w:val="73E8F73E"/>
    <w:lvl w:ilvl="0">
      <w:start w:val="1"/>
      <w:numFmt w:val="bullet"/>
      <w:pStyle w:val="ListBullet"/>
      <w:lvlText w:val=""/>
      <w:lvlJc w:val="left"/>
      <w:pPr>
        <w:tabs>
          <w:tab w:val="num" w:pos="227"/>
        </w:tabs>
        <w:ind w:left="227" w:hanging="227"/>
      </w:pPr>
      <w:rPr>
        <w:rFonts w:ascii="Symbol" w:hAnsi="Symbol"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lowerRoman"/>
      <w:lvlText w:val="%3."/>
      <w:lvlJc w:val="right"/>
      <w:pPr>
        <w:tabs>
          <w:tab w:val="num" w:pos="2747"/>
        </w:tabs>
        <w:ind w:left="2747" w:hanging="180"/>
      </w:pPr>
      <w:rPr>
        <w:rFonts w:hint="default"/>
      </w:rPr>
    </w:lvl>
    <w:lvl w:ilvl="3">
      <w:start w:val="1"/>
      <w:numFmt w:val="decimal"/>
      <w:lvlText w:val="%4."/>
      <w:lvlJc w:val="left"/>
      <w:pPr>
        <w:tabs>
          <w:tab w:val="num" w:pos="3467"/>
        </w:tabs>
        <w:ind w:left="3467" w:hanging="360"/>
      </w:pPr>
      <w:rPr>
        <w:rFonts w:hint="default"/>
      </w:rPr>
    </w:lvl>
    <w:lvl w:ilvl="4">
      <w:start w:val="1"/>
      <w:numFmt w:val="lowerLetter"/>
      <w:lvlText w:val="%5."/>
      <w:lvlJc w:val="left"/>
      <w:pPr>
        <w:tabs>
          <w:tab w:val="num" w:pos="4187"/>
        </w:tabs>
        <w:ind w:left="4187" w:hanging="360"/>
      </w:pPr>
      <w:rPr>
        <w:rFonts w:hint="default"/>
      </w:rPr>
    </w:lvl>
    <w:lvl w:ilvl="5">
      <w:start w:val="1"/>
      <w:numFmt w:val="lowerRoman"/>
      <w:lvlText w:val="%6."/>
      <w:lvlJc w:val="right"/>
      <w:pPr>
        <w:tabs>
          <w:tab w:val="num" w:pos="4907"/>
        </w:tabs>
        <w:ind w:left="4907" w:hanging="180"/>
      </w:pPr>
      <w:rPr>
        <w:rFonts w:hint="default"/>
      </w:rPr>
    </w:lvl>
    <w:lvl w:ilvl="6">
      <w:start w:val="1"/>
      <w:numFmt w:val="decimal"/>
      <w:lvlText w:val="%7."/>
      <w:lvlJc w:val="left"/>
      <w:pPr>
        <w:tabs>
          <w:tab w:val="num" w:pos="5627"/>
        </w:tabs>
        <w:ind w:left="5627" w:hanging="360"/>
      </w:pPr>
      <w:rPr>
        <w:rFonts w:hint="default"/>
      </w:rPr>
    </w:lvl>
    <w:lvl w:ilvl="7">
      <w:start w:val="1"/>
      <w:numFmt w:val="lowerLetter"/>
      <w:lvlText w:val="%8."/>
      <w:lvlJc w:val="left"/>
      <w:pPr>
        <w:tabs>
          <w:tab w:val="num" w:pos="6347"/>
        </w:tabs>
        <w:ind w:left="6347" w:hanging="360"/>
      </w:pPr>
      <w:rPr>
        <w:rFonts w:hint="default"/>
      </w:rPr>
    </w:lvl>
    <w:lvl w:ilvl="8">
      <w:start w:val="1"/>
      <w:numFmt w:val="lowerRoman"/>
      <w:lvlText w:val="%9."/>
      <w:lvlJc w:val="right"/>
      <w:pPr>
        <w:tabs>
          <w:tab w:val="num" w:pos="7067"/>
        </w:tabs>
        <w:ind w:left="7067" w:hanging="180"/>
      </w:pPr>
      <w:rPr>
        <w:rFonts w:hint="default"/>
      </w:rPr>
    </w:lvl>
  </w:abstractNum>
  <w:abstractNum w:abstractNumId="18" w15:restartNumberingAfterBreak="0">
    <w:nsid w:val="6B696A63"/>
    <w:multiLevelType w:val="multilevel"/>
    <w:tmpl w:val="5AEEDE88"/>
    <w:styleLink w:val="StyleBulleted"/>
    <w:lvl w:ilvl="0">
      <w:start w:val="1"/>
      <w:numFmt w:val="bullet"/>
      <w:lvlText w:val="•"/>
      <w:lvlJc w:val="left"/>
      <w:pPr>
        <w:tabs>
          <w:tab w:val="num" w:pos="227"/>
        </w:tabs>
        <w:ind w:left="227" w:hanging="227"/>
      </w:pPr>
      <w:rPr>
        <w:rFonts w:ascii="Verdana" w:hAnsi="Verdana"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bullet"/>
      <w:lvlText w:val="•"/>
      <w:lvlJc w:val="left"/>
      <w:pPr>
        <w:tabs>
          <w:tab w:val="num" w:pos="227"/>
        </w:tabs>
        <w:ind w:left="680" w:hanging="226"/>
      </w:pPr>
      <w:rPr>
        <w:rFonts w:ascii="Verdana" w:hAnsi="Verdana" w:hint="default"/>
      </w:rPr>
    </w:lvl>
    <w:lvl w:ilvl="3">
      <w:start w:val="1"/>
      <w:numFmt w:val="bullet"/>
      <w:lvlText w:val="-"/>
      <w:lvlJc w:val="left"/>
      <w:pPr>
        <w:tabs>
          <w:tab w:val="num" w:pos="227"/>
        </w:tabs>
        <w:ind w:left="907" w:hanging="227"/>
      </w:pPr>
      <w:rPr>
        <w:rFonts w:ascii="Verdana" w:hAnsi="Verdana" w:hint="default"/>
      </w:rPr>
    </w:lvl>
    <w:lvl w:ilvl="4">
      <w:start w:val="1"/>
      <w:numFmt w:val="bullet"/>
      <w:lvlText w:val="•"/>
      <w:lvlJc w:val="left"/>
      <w:pPr>
        <w:tabs>
          <w:tab w:val="num" w:pos="227"/>
        </w:tabs>
        <w:ind w:left="1134" w:hanging="227"/>
      </w:pPr>
      <w:rPr>
        <w:rFonts w:ascii="Verdana" w:hAnsi="Verdana" w:hint="default"/>
      </w:rPr>
    </w:lvl>
    <w:lvl w:ilvl="5">
      <w:start w:val="1"/>
      <w:numFmt w:val="bullet"/>
      <w:lvlText w:val="-"/>
      <w:lvlJc w:val="left"/>
      <w:pPr>
        <w:tabs>
          <w:tab w:val="num" w:pos="227"/>
        </w:tabs>
        <w:ind w:left="1361" w:hanging="227"/>
      </w:pPr>
      <w:rPr>
        <w:rFonts w:ascii="Verdana" w:hAnsi="Verdana" w:hint="default"/>
      </w:rPr>
    </w:lvl>
    <w:lvl w:ilvl="6">
      <w:start w:val="1"/>
      <w:numFmt w:val="bullet"/>
      <w:lvlText w:val="•"/>
      <w:lvlJc w:val="left"/>
      <w:pPr>
        <w:tabs>
          <w:tab w:val="num" w:pos="227"/>
        </w:tabs>
        <w:ind w:left="1588" w:hanging="227"/>
      </w:pPr>
      <w:rPr>
        <w:rFonts w:ascii="Verdana" w:hAnsi="Verdana" w:hint="default"/>
      </w:rPr>
    </w:lvl>
    <w:lvl w:ilvl="7">
      <w:start w:val="1"/>
      <w:numFmt w:val="bullet"/>
      <w:lvlText w:val="-"/>
      <w:lvlJc w:val="left"/>
      <w:pPr>
        <w:tabs>
          <w:tab w:val="num" w:pos="227"/>
        </w:tabs>
        <w:ind w:left="1814" w:hanging="226"/>
      </w:pPr>
      <w:rPr>
        <w:rFonts w:ascii="Verdana" w:hAnsi="Verdana" w:hint="default"/>
      </w:rPr>
    </w:lvl>
    <w:lvl w:ilvl="8">
      <w:start w:val="1"/>
      <w:numFmt w:val="bullet"/>
      <w:lvlText w:val="•"/>
      <w:lvlJc w:val="left"/>
      <w:pPr>
        <w:tabs>
          <w:tab w:val="num" w:pos="227"/>
        </w:tabs>
        <w:ind w:left="2041" w:hanging="227"/>
      </w:pPr>
      <w:rPr>
        <w:rFonts w:ascii="Verdana" w:hAnsi="Verdana" w:hint="default"/>
      </w:rPr>
    </w:lvl>
  </w:abstractNum>
  <w:abstractNum w:abstractNumId="19" w15:restartNumberingAfterBreak="0">
    <w:nsid w:val="6BBB2426"/>
    <w:multiLevelType w:val="hybridMultilevel"/>
    <w:tmpl w:val="D6BA403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71A75F72"/>
    <w:multiLevelType w:val="hybridMultilevel"/>
    <w:tmpl w:val="E5D6D21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739A3E57"/>
    <w:multiLevelType w:val="hybridMultilevel"/>
    <w:tmpl w:val="6A5CE0F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77555624"/>
    <w:multiLevelType w:val="multilevel"/>
    <w:tmpl w:val="53AC82DE"/>
    <w:lvl w:ilvl="0">
      <w:start w:val="3"/>
      <w:numFmt w:val="decimal"/>
      <w:lvlText w:val="%1"/>
      <w:lvlJc w:val="left"/>
      <w:pPr>
        <w:ind w:left="360" w:hanging="360"/>
      </w:pPr>
      <w:rPr>
        <w:rFonts w:hint="default"/>
      </w:rPr>
    </w:lvl>
    <w:lvl w:ilvl="1">
      <w:start w:val="1"/>
      <w:numFmt w:val="decimal"/>
      <w:lvlText w:val="%1.%2"/>
      <w:lvlJc w:val="left"/>
      <w:pPr>
        <w:ind w:left="-802" w:hanging="360"/>
      </w:pPr>
      <w:rPr>
        <w:rFonts w:hint="default"/>
      </w:rPr>
    </w:lvl>
    <w:lvl w:ilvl="2">
      <w:start w:val="1"/>
      <w:numFmt w:val="decimal"/>
      <w:lvlText w:val="%1.%2.%3"/>
      <w:lvlJc w:val="left"/>
      <w:pPr>
        <w:ind w:left="-1604" w:hanging="720"/>
      </w:pPr>
      <w:rPr>
        <w:rFonts w:hint="default"/>
      </w:rPr>
    </w:lvl>
    <w:lvl w:ilvl="3">
      <w:start w:val="1"/>
      <w:numFmt w:val="decimal"/>
      <w:lvlText w:val="%1.%2.%3.%4"/>
      <w:lvlJc w:val="left"/>
      <w:pPr>
        <w:ind w:left="-2406" w:hanging="1080"/>
      </w:pPr>
      <w:rPr>
        <w:rFonts w:hint="default"/>
      </w:rPr>
    </w:lvl>
    <w:lvl w:ilvl="4">
      <w:start w:val="1"/>
      <w:numFmt w:val="decimal"/>
      <w:lvlText w:val="%1.%2.%3.%4.%5"/>
      <w:lvlJc w:val="left"/>
      <w:pPr>
        <w:ind w:left="-3568" w:hanging="1080"/>
      </w:pPr>
      <w:rPr>
        <w:rFonts w:hint="default"/>
      </w:rPr>
    </w:lvl>
    <w:lvl w:ilvl="5">
      <w:start w:val="1"/>
      <w:numFmt w:val="decimal"/>
      <w:lvlText w:val="%1.%2.%3.%4.%5.%6"/>
      <w:lvlJc w:val="left"/>
      <w:pPr>
        <w:ind w:left="-4370" w:hanging="1440"/>
      </w:pPr>
      <w:rPr>
        <w:rFonts w:hint="default"/>
      </w:rPr>
    </w:lvl>
    <w:lvl w:ilvl="6">
      <w:start w:val="1"/>
      <w:numFmt w:val="decimal"/>
      <w:lvlText w:val="%1.%2.%3.%4.%5.%6.%7"/>
      <w:lvlJc w:val="left"/>
      <w:pPr>
        <w:ind w:left="-5532" w:hanging="1440"/>
      </w:pPr>
      <w:rPr>
        <w:rFonts w:hint="default"/>
      </w:rPr>
    </w:lvl>
    <w:lvl w:ilvl="7">
      <w:start w:val="1"/>
      <w:numFmt w:val="decimal"/>
      <w:lvlText w:val="%1.%2.%3.%4.%5.%6.%7.%8"/>
      <w:lvlJc w:val="left"/>
      <w:pPr>
        <w:ind w:left="-6334" w:hanging="1800"/>
      </w:pPr>
      <w:rPr>
        <w:rFonts w:hint="default"/>
      </w:rPr>
    </w:lvl>
    <w:lvl w:ilvl="8">
      <w:start w:val="1"/>
      <w:numFmt w:val="decimal"/>
      <w:lvlText w:val="%1.%2.%3.%4.%5.%6.%7.%8.%9"/>
      <w:lvlJc w:val="left"/>
      <w:pPr>
        <w:ind w:left="-7136" w:hanging="2160"/>
      </w:pPr>
      <w:rPr>
        <w:rFonts w:hint="default"/>
      </w:rPr>
    </w:lvl>
  </w:abstractNum>
  <w:abstractNum w:abstractNumId="23" w15:restartNumberingAfterBreak="0">
    <w:nsid w:val="7E1D7CCB"/>
    <w:multiLevelType w:val="hybridMultilevel"/>
    <w:tmpl w:val="0876DF8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6"/>
  </w:num>
  <w:num w:numId="2">
    <w:abstractNumId w:val="17"/>
  </w:num>
  <w:num w:numId="3">
    <w:abstractNumId w:val="8"/>
  </w:num>
  <w:num w:numId="4">
    <w:abstractNumId w:val="0"/>
  </w:num>
  <w:num w:numId="5">
    <w:abstractNumId w:val="18"/>
  </w:num>
  <w:num w:numId="6">
    <w:abstractNumId w:val="2"/>
  </w:num>
  <w:num w:numId="7">
    <w:abstractNumId w:val="22"/>
  </w:num>
  <w:num w:numId="8">
    <w:abstractNumId w:val="4"/>
  </w:num>
  <w:num w:numId="9">
    <w:abstractNumId w:val="3"/>
  </w:num>
  <w:num w:numId="10">
    <w:abstractNumId w:val="20"/>
  </w:num>
  <w:num w:numId="11">
    <w:abstractNumId w:val="23"/>
  </w:num>
  <w:num w:numId="12">
    <w:abstractNumId w:val="7"/>
  </w:num>
  <w:num w:numId="13">
    <w:abstractNumId w:val="1"/>
  </w:num>
  <w:num w:numId="14">
    <w:abstractNumId w:val="6"/>
  </w:num>
  <w:num w:numId="15">
    <w:abstractNumId w:val="13"/>
  </w:num>
  <w:num w:numId="16">
    <w:abstractNumId w:val="19"/>
  </w:num>
  <w:num w:numId="17">
    <w:abstractNumId w:val="12"/>
  </w:num>
  <w:num w:numId="18">
    <w:abstractNumId w:val="5"/>
  </w:num>
  <w:num w:numId="19">
    <w:abstractNumId w:val="10"/>
  </w:num>
  <w:num w:numId="20">
    <w:abstractNumId w:val="14"/>
  </w:num>
  <w:num w:numId="21">
    <w:abstractNumId w:val="15"/>
  </w:num>
  <w:num w:numId="22">
    <w:abstractNumId w:val="11"/>
  </w:num>
  <w:num w:numId="23">
    <w:abstractNumId w:val="21"/>
  </w:num>
  <w:num w:numId="24">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227"/>
  <w:hyphenationZone w:val="425"/>
  <w:characterSpacingControl w:val="doNotCompress"/>
  <w:hdrShapeDefaults>
    <o:shapedefaults v:ext="edit" spidmax="41985"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5F18"/>
    <w:rsid w:val="0000367D"/>
    <w:rsid w:val="0000392E"/>
    <w:rsid w:val="00003A32"/>
    <w:rsid w:val="00004084"/>
    <w:rsid w:val="00004E2D"/>
    <w:rsid w:val="00005884"/>
    <w:rsid w:val="00006E47"/>
    <w:rsid w:val="0001095C"/>
    <w:rsid w:val="000114F8"/>
    <w:rsid w:val="00013196"/>
    <w:rsid w:val="000144B0"/>
    <w:rsid w:val="00016C57"/>
    <w:rsid w:val="00020189"/>
    <w:rsid w:val="00020EE4"/>
    <w:rsid w:val="000225F2"/>
    <w:rsid w:val="000227EB"/>
    <w:rsid w:val="000234D6"/>
    <w:rsid w:val="0002628D"/>
    <w:rsid w:val="00026447"/>
    <w:rsid w:val="0002695C"/>
    <w:rsid w:val="000304C1"/>
    <w:rsid w:val="00031268"/>
    <w:rsid w:val="00032C0E"/>
    <w:rsid w:val="00033419"/>
    <w:rsid w:val="00033426"/>
    <w:rsid w:val="00033950"/>
    <w:rsid w:val="00033E8D"/>
    <w:rsid w:val="00034A84"/>
    <w:rsid w:val="00035E67"/>
    <w:rsid w:val="0004192F"/>
    <w:rsid w:val="000422E7"/>
    <w:rsid w:val="00044809"/>
    <w:rsid w:val="00045A4F"/>
    <w:rsid w:val="00046866"/>
    <w:rsid w:val="00047318"/>
    <w:rsid w:val="0005061F"/>
    <w:rsid w:val="00050ABD"/>
    <w:rsid w:val="00050B6A"/>
    <w:rsid w:val="00051416"/>
    <w:rsid w:val="000559DE"/>
    <w:rsid w:val="00055F44"/>
    <w:rsid w:val="000576A7"/>
    <w:rsid w:val="00057B03"/>
    <w:rsid w:val="0006027D"/>
    <w:rsid w:val="000605A3"/>
    <w:rsid w:val="000610BA"/>
    <w:rsid w:val="00063000"/>
    <w:rsid w:val="00064CEC"/>
    <w:rsid w:val="00066F2B"/>
    <w:rsid w:val="0006700B"/>
    <w:rsid w:val="00070000"/>
    <w:rsid w:val="000705D1"/>
    <w:rsid w:val="000709C8"/>
    <w:rsid w:val="00071F28"/>
    <w:rsid w:val="00072371"/>
    <w:rsid w:val="00076FCC"/>
    <w:rsid w:val="00077900"/>
    <w:rsid w:val="00080AE8"/>
    <w:rsid w:val="00081825"/>
    <w:rsid w:val="00081DD4"/>
    <w:rsid w:val="0008255C"/>
    <w:rsid w:val="00082BB1"/>
    <w:rsid w:val="000842B5"/>
    <w:rsid w:val="000842F4"/>
    <w:rsid w:val="00084F23"/>
    <w:rsid w:val="00085F22"/>
    <w:rsid w:val="0008640E"/>
    <w:rsid w:val="0008784B"/>
    <w:rsid w:val="00087FA0"/>
    <w:rsid w:val="000903DE"/>
    <w:rsid w:val="000905CE"/>
    <w:rsid w:val="00090808"/>
    <w:rsid w:val="0009114D"/>
    <w:rsid w:val="000912C6"/>
    <w:rsid w:val="000924C1"/>
    <w:rsid w:val="00093522"/>
    <w:rsid w:val="00094518"/>
    <w:rsid w:val="00094A14"/>
    <w:rsid w:val="00094B45"/>
    <w:rsid w:val="00096680"/>
    <w:rsid w:val="00097B3F"/>
    <w:rsid w:val="000A01F6"/>
    <w:rsid w:val="000A0BB1"/>
    <w:rsid w:val="000A22CF"/>
    <w:rsid w:val="000A27FF"/>
    <w:rsid w:val="000A2DF7"/>
    <w:rsid w:val="000A2F4A"/>
    <w:rsid w:val="000A381C"/>
    <w:rsid w:val="000A3AF6"/>
    <w:rsid w:val="000A53BC"/>
    <w:rsid w:val="000A7D4C"/>
    <w:rsid w:val="000B2A0F"/>
    <w:rsid w:val="000B477F"/>
    <w:rsid w:val="000B4EC0"/>
    <w:rsid w:val="000B64F8"/>
    <w:rsid w:val="000B7281"/>
    <w:rsid w:val="000B73BA"/>
    <w:rsid w:val="000B7AF9"/>
    <w:rsid w:val="000B7E02"/>
    <w:rsid w:val="000C05BF"/>
    <w:rsid w:val="000C06A5"/>
    <w:rsid w:val="000C0757"/>
    <w:rsid w:val="000C07A1"/>
    <w:rsid w:val="000C082E"/>
    <w:rsid w:val="000C0DDA"/>
    <w:rsid w:val="000C0FB6"/>
    <w:rsid w:val="000C3F40"/>
    <w:rsid w:val="000C43A2"/>
    <w:rsid w:val="000C4679"/>
    <w:rsid w:val="000C521E"/>
    <w:rsid w:val="000C575D"/>
    <w:rsid w:val="000C5810"/>
    <w:rsid w:val="000C5E4F"/>
    <w:rsid w:val="000C6EED"/>
    <w:rsid w:val="000D0473"/>
    <w:rsid w:val="000D2C16"/>
    <w:rsid w:val="000D3986"/>
    <w:rsid w:val="000D7BB7"/>
    <w:rsid w:val="000E15AA"/>
    <w:rsid w:val="000E21AD"/>
    <w:rsid w:val="000E37D1"/>
    <w:rsid w:val="000E4777"/>
    <w:rsid w:val="000F03D7"/>
    <w:rsid w:val="000F1533"/>
    <w:rsid w:val="000F1A72"/>
    <w:rsid w:val="000F1A82"/>
    <w:rsid w:val="000F2632"/>
    <w:rsid w:val="000F46A7"/>
    <w:rsid w:val="000F4B53"/>
    <w:rsid w:val="000F53BE"/>
    <w:rsid w:val="000F6168"/>
    <w:rsid w:val="00100633"/>
    <w:rsid w:val="00101839"/>
    <w:rsid w:val="00101F98"/>
    <w:rsid w:val="00102C70"/>
    <w:rsid w:val="00102DFB"/>
    <w:rsid w:val="001031E7"/>
    <w:rsid w:val="00104517"/>
    <w:rsid w:val="001069BA"/>
    <w:rsid w:val="00107EB4"/>
    <w:rsid w:val="00116E2A"/>
    <w:rsid w:val="00120534"/>
    <w:rsid w:val="001210BF"/>
    <w:rsid w:val="00121AD6"/>
    <w:rsid w:val="00122BDB"/>
    <w:rsid w:val="00123082"/>
    <w:rsid w:val="00123704"/>
    <w:rsid w:val="00124B64"/>
    <w:rsid w:val="00125028"/>
    <w:rsid w:val="00125154"/>
    <w:rsid w:val="00125A07"/>
    <w:rsid w:val="001270C7"/>
    <w:rsid w:val="00130DA2"/>
    <w:rsid w:val="00131D1F"/>
    <w:rsid w:val="0013249A"/>
    <w:rsid w:val="00134D07"/>
    <w:rsid w:val="00136130"/>
    <w:rsid w:val="00136D94"/>
    <w:rsid w:val="0014161D"/>
    <w:rsid w:val="00141F46"/>
    <w:rsid w:val="00142259"/>
    <w:rsid w:val="00142628"/>
    <w:rsid w:val="00142859"/>
    <w:rsid w:val="001429A1"/>
    <w:rsid w:val="00142BCD"/>
    <w:rsid w:val="00144379"/>
    <w:rsid w:val="001474EB"/>
    <w:rsid w:val="0014786A"/>
    <w:rsid w:val="0015109B"/>
    <w:rsid w:val="001516A4"/>
    <w:rsid w:val="00154AD8"/>
    <w:rsid w:val="00154F9F"/>
    <w:rsid w:val="0016086C"/>
    <w:rsid w:val="0016160F"/>
    <w:rsid w:val="00163F42"/>
    <w:rsid w:val="00163F5B"/>
    <w:rsid w:val="00163FA2"/>
    <w:rsid w:val="00163FF4"/>
    <w:rsid w:val="00164384"/>
    <w:rsid w:val="00164D75"/>
    <w:rsid w:val="00165BCE"/>
    <w:rsid w:val="00166242"/>
    <w:rsid w:val="00167F79"/>
    <w:rsid w:val="00170F17"/>
    <w:rsid w:val="00171AFC"/>
    <w:rsid w:val="00171C7D"/>
    <w:rsid w:val="001739A0"/>
    <w:rsid w:val="00173E9E"/>
    <w:rsid w:val="001753DD"/>
    <w:rsid w:val="0017761C"/>
    <w:rsid w:val="001802CA"/>
    <w:rsid w:val="00180546"/>
    <w:rsid w:val="00180875"/>
    <w:rsid w:val="00180CBA"/>
    <w:rsid w:val="00181629"/>
    <w:rsid w:val="00181A35"/>
    <w:rsid w:val="00182C7C"/>
    <w:rsid w:val="00183CBA"/>
    <w:rsid w:val="00183FB1"/>
    <w:rsid w:val="00185576"/>
    <w:rsid w:val="00185951"/>
    <w:rsid w:val="00191587"/>
    <w:rsid w:val="00192687"/>
    <w:rsid w:val="0019336F"/>
    <w:rsid w:val="00193994"/>
    <w:rsid w:val="00194809"/>
    <w:rsid w:val="00194DE4"/>
    <w:rsid w:val="001952F9"/>
    <w:rsid w:val="00195B13"/>
    <w:rsid w:val="001A2505"/>
    <w:rsid w:val="001A4CE3"/>
    <w:rsid w:val="001A5422"/>
    <w:rsid w:val="001B0189"/>
    <w:rsid w:val="001B01D9"/>
    <w:rsid w:val="001B1B4E"/>
    <w:rsid w:val="001B2C4B"/>
    <w:rsid w:val="001B5DC5"/>
    <w:rsid w:val="001B793F"/>
    <w:rsid w:val="001B7D7E"/>
    <w:rsid w:val="001C01F6"/>
    <w:rsid w:val="001C0CF4"/>
    <w:rsid w:val="001C1281"/>
    <w:rsid w:val="001C1AF8"/>
    <w:rsid w:val="001C3DBE"/>
    <w:rsid w:val="001C3DE6"/>
    <w:rsid w:val="001C47F8"/>
    <w:rsid w:val="001C49CC"/>
    <w:rsid w:val="001C51A7"/>
    <w:rsid w:val="001C6550"/>
    <w:rsid w:val="001C793E"/>
    <w:rsid w:val="001D0371"/>
    <w:rsid w:val="001D0FB6"/>
    <w:rsid w:val="001D288C"/>
    <w:rsid w:val="001D5178"/>
    <w:rsid w:val="001D7F60"/>
    <w:rsid w:val="001E1E35"/>
    <w:rsid w:val="001E2B9C"/>
    <w:rsid w:val="001E34C6"/>
    <w:rsid w:val="001E3886"/>
    <w:rsid w:val="001E5581"/>
    <w:rsid w:val="001E5757"/>
    <w:rsid w:val="001E73BA"/>
    <w:rsid w:val="001F0250"/>
    <w:rsid w:val="001F0D75"/>
    <w:rsid w:val="001F2538"/>
    <w:rsid w:val="001F3AD3"/>
    <w:rsid w:val="001F4D72"/>
    <w:rsid w:val="001F562C"/>
    <w:rsid w:val="001F583B"/>
    <w:rsid w:val="001F6340"/>
    <w:rsid w:val="002033E0"/>
    <w:rsid w:val="002068BD"/>
    <w:rsid w:val="00210629"/>
    <w:rsid w:val="00211122"/>
    <w:rsid w:val="002121BE"/>
    <w:rsid w:val="00212A05"/>
    <w:rsid w:val="0021384A"/>
    <w:rsid w:val="00216302"/>
    <w:rsid w:val="002165AB"/>
    <w:rsid w:val="00216ADD"/>
    <w:rsid w:val="002212B1"/>
    <w:rsid w:val="00221806"/>
    <w:rsid w:val="002222A2"/>
    <w:rsid w:val="0022295F"/>
    <w:rsid w:val="00223974"/>
    <w:rsid w:val="00223E42"/>
    <w:rsid w:val="00225674"/>
    <w:rsid w:val="00234DF4"/>
    <w:rsid w:val="00234F48"/>
    <w:rsid w:val="00237401"/>
    <w:rsid w:val="00237F45"/>
    <w:rsid w:val="0024163C"/>
    <w:rsid w:val="00242356"/>
    <w:rsid w:val="002428E3"/>
    <w:rsid w:val="00247458"/>
    <w:rsid w:val="0025034D"/>
    <w:rsid w:val="002511A6"/>
    <w:rsid w:val="00254103"/>
    <w:rsid w:val="002568BC"/>
    <w:rsid w:val="00256E73"/>
    <w:rsid w:val="002579E2"/>
    <w:rsid w:val="00260BAF"/>
    <w:rsid w:val="00261F77"/>
    <w:rsid w:val="002633CA"/>
    <w:rsid w:val="002644F5"/>
    <w:rsid w:val="00264CB9"/>
    <w:rsid w:val="002650F7"/>
    <w:rsid w:val="00266018"/>
    <w:rsid w:val="0026609E"/>
    <w:rsid w:val="00267BA5"/>
    <w:rsid w:val="00267CC1"/>
    <w:rsid w:val="0027051F"/>
    <w:rsid w:val="002731C3"/>
    <w:rsid w:val="002733CD"/>
    <w:rsid w:val="0027471C"/>
    <w:rsid w:val="00276E3A"/>
    <w:rsid w:val="002803F3"/>
    <w:rsid w:val="0028070F"/>
    <w:rsid w:val="00280CF7"/>
    <w:rsid w:val="00280F74"/>
    <w:rsid w:val="00281287"/>
    <w:rsid w:val="00281846"/>
    <w:rsid w:val="00283363"/>
    <w:rsid w:val="00286998"/>
    <w:rsid w:val="002874CC"/>
    <w:rsid w:val="00290320"/>
    <w:rsid w:val="00290657"/>
    <w:rsid w:val="002912E8"/>
    <w:rsid w:val="002957DE"/>
    <w:rsid w:val="00296115"/>
    <w:rsid w:val="00297320"/>
    <w:rsid w:val="002A098E"/>
    <w:rsid w:val="002A149F"/>
    <w:rsid w:val="002A1CB5"/>
    <w:rsid w:val="002A310E"/>
    <w:rsid w:val="002A5261"/>
    <w:rsid w:val="002A6BF7"/>
    <w:rsid w:val="002B0F2F"/>
    <w:rsid w:val="002B153C"/>
    <w:rsid w:val="002B1995"/>
    <w:rsid w:val="002B7582"/>
    <w:rsid w:val="002B76D0"/>
    <w:rsid w:val="002C2320"/>
    <w:rsid w:val="002C29CB"/>
    <w:rsid w:val="002C3659"/>
    <w:rsid w:val="002C45B0"/>
    <w:rsid w:val="002C6064"/>
    <w:rsid w:val="002C6A05"/>
    <w:rsid w:val="002C7285"/>
    <w:rsid w:val="002C7362"/>
    <w:rsid w:val="002C75D9"/>
    <w:rsid w:val="002C77AF"/>
    <w:rsid w:val="002D1801"/>
    <w:rsid w:val="002D3129"/>
    <w:rsid w:val="002D317B"/>
    <w:rsid w:val="002D3728"/>
    <w:rsid w:val="002D66F4"/>
    <w:rsid w:val="002D6BF5"/>
    <w:rsid w:val="002D70F3"/>
    <w:rsid w:val="002E05CA"/>
    <w:rsid w:val="002E0B60"/>
    <w:rsid w:val="002E0F69"/>
    <w:rsid w:val="002E14DF"/>
    <w:rsid w:val="002E14E1"/>
    <w:rsid w:val="002E184D"/>
    <w:rsid w:val="002E1FAD"/>
    <w:rsid w:val="002E3F64"/>
    <w:rsid w:val="002E44D1"/>
    <w:rsid w:val="002E572E"/>
    <w:rsid w:val="002E7941"/>
    <w:rsid w:val="002F1D5F"/>
    <w:rsid w:val="002F35DC"/>
    <w:rsid w:val="002F56DD"/>
    <w:rsid w:val="002F5E6C"/>
    <w:rsid w:val="002F6CE5"/>
    <w:rsid w:val="002F7070"/>
    <w:rsid w:val="002F7478"/>
    <w:rsid w:val="0030018C"/>
    <w:rsid w:val="00300D9E"/>
    <w:rsid w:val="00300EAD"/>
    <w:rsid w:val="0030201A"/>
    <w:rsid w:val="00302C0A"/>
    <w:rsid w:val="00303724"/>
    <w:rsid w:val="00304D39"/>
    <w:rsid w:val="003051CC"/>
    <w:rsid w:val="00306B7E"/>
    <w:rsid w:val="00307981"/>
    <w:rsid w:val="00307CF0"/>
    <w:rsid w:val="00311D97"/>
    <w:rsid w:val="00312597"/>
    <w:rsid w:val="0031397D"/>
    <w:rsid w:val="003139A4"/>
    <w:rsid w:val="003141DF"/>
    <w:rsid w:val="00316F7F"/>
    <w:rsid w:val="0031751C"/>
    <w:rsid w:val="00321AA3"/>
    <w:rsid w:val="00326699"/>
    <w:rsid w:val="0033173E"/>
    <w:rsid w:val="00331B8E"/>
    <w:rsid w:val="0033207E"/>
    <w:rsid w:val="00333036"/>
    <w:rsid w:val="003331DA"/>
    <w:rsid w:val="00333A9E"/>
    <w:rsid w:val="00333CC6"/>
    <w:rsid w:val="003340B1"/>
    <w:rsid w:val="00334334"/>
    <w:rsid w:val="00335F89"/>
    <w:rsid w:val="003365E0"/>
    <w:rsid w:val="00337241"/>
    <w:rsid w:val="003412ED"/>
    <w:rsid w:val="00341585"/>
    <w:rsid w:val="00342938"/>
    <w:rsid w:val="00343F24"/>
    <w:rsid w:val="00344A07"/>
    <w:rsid w:val="003477DF"/>
    <w:rsid w:val="00350DC8"/>
    <w:rsid w:val="00353D56"/>
    <w:rsid w:val="003554B8"/>
    <w:rsid w:val="00355575"/>
    <w:rsid w:val="003555BF"/>
    <w:rsid w:val="0036223B"/>
    <w:rsid w:val="0036252A"/>
    <w:rsid w:val="003646BF"/>
    <w:rsid w:val="00364D9D"/>
    <w:rsid w:val="0036615D"/>
    <w:rsid w:val="003668AB"/>
    <w:rsid w:val="00371603"/>
    <w:rsid w:val="003735B9"/>
    <w:rsid w:val="003737A8"/>
    <w:rsid w:val="0037461E"/>
    <w:rsid w:val="00374748"/>
    <w:rsid w:val="00375EFA"/>
    <w:rsid w:val="00382AE3"/>
    <w:rsid w:val="00383906"/>
    <w:rsid w:val="00383DA1"/>
    <w:rsid w:val="00387E90"/>
    <w:rsid w:val="00387F03"/>
    <w:rsid w:val="003912B4"/>
    <w:rsid w:val="0039160C"/>
    <w:rsid w:val="00392007"/>
    <w:rsid w:val="003938D1"/>
    <w:rsid w:val="0039660F"/>
    <w:rsid w:val="0039741E"/>
    <w:rsid w:val="0039744C"/>
    <w:rsid w:val="00397C46"/>
    <w:rsid w:val="003A06C8"/>
    <w:rsid w:val="003A0D7C"/>
    <w:rsid w:val="003A1E73"/>
    <w:rsid w:val="003A32D7"/>
    <w:rsid w:val="003A3889"/>
    <w:rsid w:val="003A65E8"/>
    <w:rsid w:val="003A667A"/>
    <w:rsid w:val="003A74F5"/>
    <w:rsid w:val="003A7AFA"/>
    <w:rsid w:val="003A7CA6"/>
    <w:rsid w:val="003B1862"/>
    <w:rsid w:val="003B3974"/>
    <w:rsid w:val="003B40BE"/>
    <w:rsid w:val="003B4CB4"/>
    <w:rsid w:val="003B518B"/>
    <w:rsid w:val="003B58E3"/>
    <w:rsid w:val="003B6586"/>
    <w:rsid w:val="003B7612"/>
    <w:rsid w:val="003B7DEC"/>
    <w:rsid w:val="003B7EE7"/>
    <w:rsid w:val="003C18C0"/>
    <w:rsid w:val="003C2557"/>
    <w:rsid w:val="003C6576"/>
    <w:rsid w:val="003C6ADC"/>
    <w:rsid w:val="003C7467"/>
    <w:rsid w:val="003C7479"/>
    <w:rsid w:val="003D1F17"/>
    <w:rsid w:val="003D244F"/>
    <w:rsid w:val="003D39EC"/>
    <w:rsid w:val="003D3E27"/>
    <w:rsid w:val="003D53B3"/>
    <w:rsid w:val="003D5452"/>
    <w:rsid w:val="003D606F"/>
    <w:rsid w:val="003D6943"/>
    <w:rsid w:val="003D78F6"/>
    <w:rsid w:val="003E0D8B"/>
    <w:rsid w:val="003E0DD1"/>
    <w:rsid w:val="003E3CFF"/>
    <w:rsid w:val="003E3DD5"/>
    <w:rsid w:val="003E537A"/>
    <w:rsid w:val="003E55D6"/>
    <w:rsid w:val="003E6FCE"/>
    <w:rsid w:val="003E713E"/>
    <w:rsid w:val="003E7BF8"/>
    <w:rsid w:val="003E7ECF"/>
    <w:rsid w:val="003F02B2"/>
    <w:rsid w:val="003F0833"/>
    <w:rsid w:val="003F0B8C"/>
    <w:rsid w:val="003F1ECD"/>
    <w:rsid w:val="003F26FC"/>
    <w:rsid w:val="003F350F"/>
    <w:rsid w:val="003F44B7"/>
    <w:rsid w:val="003F4590"/>
    <w:rsid w:val="003F6065"/>
    <w:rsid w:val="003F6E3E"/>
    <w:rsid w:val="003F75A0"/>
    <w:rsid w:val="00400F1C"/>
    <w:rsid w:val="0040306E"/>
    <w:rsid w:val="004030D8"/>
    <w:rsid w:val="00404B4E"/>
    <w:rsid w:val="00405BB4"/>
    <w:rsid w:val="00406AF7"/>
    <w:rsid w:val="004075F2"/>
    <w:rsid w:val="00410DE8"/>
    <w:rsid w:val="00411100"/>
    <w:rsid w:val="004111DA"/>
    <w:rsid w:val="00413D48"/>
    <w:rsid w:val="00414ACD"/>
    <w:rsid w:val="004213B0"/>
    <w:rsid w:val="004213F7"/>
    <w:rsid w:val="00422948"/>
    <w:rsid w:val="00422FEE"/>
    <w:rsid w:val="004235F9"/>
    <w:rsid w:val="00424009"/>
    <w:rsid w:val="00430CBE"/>
    <w:rsid w:val="004374FA"/>
    <w:rsid w:val="00441AC2"/>
    <w:rsid w:val="004425A0"/>
    <w:rsid w:val="00444592"/>
    <w:rsid w:val="004459A8"/>
    <w:rsid w:val="00445FEE"/>
    <w:rsid w:val="0044678E"/>
    <w:rsid w:val="004469C1"/>
    <w:rsid w:val="00447E60"/>
    <w:rsid w:val="0045061E"/>
    <w:rsid w:val="004510AC"/>
    <w:rsid w:val="004520E4"/>
    <w:rsid w:val="004528F1"/>
    <w:rsid w:val="00452BCD"/>
    <w:rsid w:val="00453A1E"/>
    <w:rsid w:val="00454EC1"/>
    <w:rsid w:val="00455A2A"/>
    <w:rsid w:val="00456A79"/>
    <w:rsid w:val="00456B63"/>
    <w:rsid w:val="00456C9B"/>
    <w:rsid w:val="0046002C"/>
    <w:rsid w:val="00460E7F"/>
    <w:rsid w:val="0046218D"/>
    <w:rsid w:val="00463FDE"/>
    <w:rsid w:val="0046457D"/>
    <w:rsid w:val="004655AB"/>
    <w:rsid w:val="004659CD"/>
    <w:rsid w:val="00467D2E"/>
    <w:rsid w:val="00470830"/>
    <w:rsid w:val="004726E9"/>
    <w:rsid w:val="00473B74"/>
    <w:rsid w:val="00476586"/>
    <w:rsid w:val="00476808"/>
    <w:rsid w:val="00476C91"/>
    <w:rsid w:val="0048181B"/>
    <w:rsid w:val="00483F0B"/>
    <w:rsid w:val="00484913"/>
    <w:rsid w:val="00486000"/>
    <w:rsid w:val="004867E2"/>
    <w:rsid w:val="00487527"/>
    <w:rsid w:val="00492A5E"/>
    <w:rsid w:val="004956ED"/>
    <w:rsid w:val="004A5672"/>
    <w:rsid w:val="004A5F55"/>
    <w:rsid w:val="004A749D"/>
    <w:rsid w:val="004A7BAF"/>
    <w:rsid w:val="004B02EC"/>
    <w:rsid w:val="004B1446"/>
    <w:rsid w:val="004B30C6"/>
    <w:rsid w:val="004B3BB8"/>
    <w:rsid w:val="004B5465"/>
    <w:rsid w:val="004B68F5"/>
    <w:rsid w:val="004B7506"/>
    <w:rsid w:val="004C0099"/>
    <w:rsid w:val="004C1744"/>
    <w:rsid w:val="004C1E58"/>
    <w:rsid w:val="004C20D2"/>
    <w:rsid w:val="004C4242"/>
    <w:rsid w:val="004C56D9"/>
    <w:rsid w:val="004C6647"/>
    <w:rsid w:val="004C7FE0"/>
    <w:rsid w:val="004D07B2"/>
    <w:rsid w:val="004D106D"/>
    <w:rsid w:val="004D1C3B"/>
    <w:rsid w:val="004D1D28"/>
    <w:rsid w:val="004D2E94"/>
    <w:rsid w:val="004D372F"/>
    <w:rsid w:val="004D403F"/>
    <w:rsid w:val="004D4757"/>
    <w:rsid w:val="004D5643"/>
    <w:rsid w:val="004D6440"/>
    <w:rsid w:val="004E022E"/>
    <w:rsid w:val="004E13BE"/>
    <w:rsid w:val="004E271E"/>
    <w:rsid w:val="004E32F0"/>
    <w:rsid w:val="004E4EE9"/>
    <w:rsid w:val="004E60C0"/>
    <w:rsid w:val="004E7715"/>
    <w:rsid w:val="004E790A"/>
    <w:rsid w:val="004E7ECA"/>
    <w:rsid w:val="004F252B"/>
    <w:rsid w:val="004F391C"/>
    <w:rsid w:val="004F3C83"/>
    <w:rsid w:val="004F4285"/>
    <w:rsid w:val="004F4698"/>
    <w:rsid w:val="004F5098"/>
    <w:rsid w:val="004F680B"/>
    <w:rsid w:val="004F6950"/>
    <w:rsid w:val="00502AF4"/>
    <w:rsid w:val="00504887"/>
    <w:rsid w:val="00504EC6"/>
    <w:rsid w:val="005059B4"/>
    <w:rsid w:val="00505E80"/>
    <w:rsid w:val="00507B8D"/>
    <w:rsid w:val="00510633"/>
    <w:rsid w:val="00510F32"/>
    <w:rsid w:val="00512A53"/>
    <w:rsid w:val="00513024"/>
    <w:rsid w:val="00514729"/>
    <w:rsid w:val="005150FC"/>
    <w:rsid w:val="00516022"/>
    <w:rsid w:val="005166D1"/>
    <w:rsid w:val="00521CEE"/>
    <w:rsid w:val="00523F8B"/>
    <w:rsid w:val="00524D65"/>
    <w:rsid w:val="00525BEA"/>
    <w:rsid w:val="00526E66"/>
    <w:rsid w:val="00526EC4"/>
    <w:rsid w:val="005279B7"/>
    <w:rsid w:val="00530233"/>
    <w:rsid w:val="00532172"/>
    <w:rsid w:val="00532596"/>
    <w:rsid w:val="00534880"/>
    <w:rsid w:val="005373AD"/>
    <w:rsid w:val="0053789D"/>
    <w:rsid w:val="00537DB3"/>
    <w:rsid w:val="005415F2"/>
    <w:rsid w:val="005452CC"/>
    <w:rsid w:val="005466EF"/>
    <w:rsid w:val="005469CE"/>
    <w:rsid w:val="005477C5"/>
    <w:rsid w:val="00547CB3"/>
    <w:rsid w:val="005505A1"/>
    <w:rsid w:val="005506A2"/>
    <w:rsid w:val="005530A7"/>
    <w:rsid w:val="0055326D"/>
    <w:rsid w:val="005546E2"/>
    <w:rsid w:val="00554727"/>
    <w:rsid w:val="005553AD"/>
    <w:rsid w:val="005557A8"/>
    <w:rsid w:val="00556D2C"/>
    <w:rsid w:val="0055776D"/>
    <w:rsid w:val="005624A7"/>
    <w:rsid w:val="00562ED1"/>
    <w:rsid w:val="0056454C"/>
    <w:rsid w:val="005652E2"/>
    <w:rsid w:val="005727B7"/>
    <w:rsid w:val="00573041"/>
    <w:rsid w:val="0057402A"/>
    <w:rsid w:val="005749A5"/>
    <w:rsid w:val="0057732A"/>
    <w:rsid w:val="005828A9"/>
    <w:rsid w:val="00582942"/>
    <w:rsid w:val="00584568"/>
    <w:rsid w:val="005856F9"/>
    <w:rsid w:val="00587797"/>
    <w:rsid w:val="005877F1"/>
    <w:rsid w:val="005903FB"/>
    <w:rsid w:val="005910E6"/>
    <w:rsid w:val="00593255"/>
    <w:rsid w:val="005936CB"/>
    <w:rsid w:val="00593B69"/>
    <w:rsid w:val="005943F9"/>
    <w:rsid w:val="0059530B"/>
    <w:rsid w:val="0059680A"/>
    <w:rsid w:val="005968D8"/>
    <w:rsid w:val="00597477"/>
    <w:rsid w:val="00597C18"/>
    <w:rsid w:val="005A03A3"/>
    <w:rsid w:val="005A1D89"/>
    <w:rsid w:val="005A463A"/>
    <w:rsid w:val="005A4777"/>
    <w:rsid w:val="005A5439"/>
    <w:rsid w:val="005A5BB8"/>
    <w:rsid w:val="005A66E5"/>
    <w:rsid w:val="005A6ADB"/>
    <w:rsid w:val="005A79E3"/>
    <w:rsid w:val="005B0ADD"/>
    <w:rsid w:val="005B1923"/>
    <w:rsid w:val="005B36E0"/>
    <w:rsid w:val="005B4F97"/>
    <w:rsid w:val="005B6A16"/>
    <w:rsid w:val="005B77E3"/>
    <w:rsid w:val="005C164B"/>
    <w:rsid w:val="005C1A3A"/>
    <w:rsid w:val="005C1BD1"/>
    <w:rsid w:val="005C22DD"/>
    <w:rsid w:val="005C3FE0"/>
    <w:rsid w:val="005C400C"/>
    <w:rsid w:val="005C4A83"/>
    <w:rsid w:val="005C7308"/>
    <w:rsid w:val="005C740C"/>
    <w:rsid w:val="005C79BA"/>
    <w:rsid w:val="005C7F36"/>
    <w:rsid w:val="005D0300"/>
    <w:rsid w:val="005D063A"/>
    <w:rsid w:val="005D1E27"/>
    <w:rsid w:val="005D3322"/>
    <w:rsid w:val="005D46F6"/>
    <w:rsid w:val="005D6886"/>
    <w:rsid w:val="005E02E4"/>
    <w:rsid w:val="005E17A4"/>
    <w:rsid w:val="005E25D4"/>
    <w:rsid w:val="005E6236"/>
    <w:rsid w:val="005F0E31"/>
    <w:rsid w:val="005F23DB"/>
    <w:rsid w:val="005F2F08"/>
    <w:rsid w:val="005F3C85"/>
    <w:rsid w:val="005F3FB6"/>
    <w:rsid w:val="005F431D"/>
    <w:rsid w:val="005F4FE7"/>
    <w:rsid w:val="005F55C9"/>
    <w:rsid w:val="006000D9"/>
    <w:rsid w:val="00600777"/>
    <w:rsid w:val="0060167A"/>
    <w:rsid w:val="00602145"/>
    <w:rsid w:val="00604051"/>
    <w:rsid w:val="00604859"/>
    <w:rsid w:val="006048F4"/>
    <w:rsid w:val="00604F46"/>
    <w:rsid w:val="006053D2"/>
    <w:rsid w:val="006064E1"/>
    <w:rsid w:val="0060660A"/>
    <w:rsid w:val="00610AAA"/>
    <w:rsid w:val="00611337"/>
    <w:rsid w:val="00611CB0"/>
    <w:rsid w:val="00612294"/>
    <w:rsid w:val="006123B1"/>
    <w:rsid w:val="00613D07"/>
    <w:rsid w:val="006144B7"/>
    <w:rsid w:val="0061509D"/>
    <w:rsid w:val="006154C6"/>
    <w:rsid w:val="00615DAA"/>
    <w:rsid w:val="00617313"/>
    <w:rsid w:val="00617A44"/>
    <w:rsid w:val="00621767"/>
    <w:rsid w:val="00625CD0"/>
    <w:rsid w:val="00625EB1"/>
    <w:rsid w:val="006271BD"/>
    <w:rsid w:val="006316B8"/>
    <w:rsid w:val="00631889"/>
    <w:rsid w:val="00632896"/>
    <w:rsid w:val="006329A1"/>
    <w:rsid w:val="00633D2B"/>
    <w:rsid w:val="00634561"/>
    <w:rsid w:val="00634A3C"/>
    <w:rsid w:val="00635DE3"/>
    <w:rsid w:val="00636AFD"/>
    <w:rsid w:val="006375B8"/>
    <w:rsid w:val="00642E52"/>
    <w:rsid w:val="00643E49"/>
    <w:rsid w:val="00645EC4"/>
    <w:rsid w:val="006469F6"/>
    <w:rsid w:val="00646AF0"/>
    <w:rsid w:val="00646E47"/>
    <w:rsid w:val="00651441"/>
    <w:rsid w:val="00651DC0"/>
    <w:rsid w:val="006522A0"/>
    <w:rsid w:val="0065281C"/>
    <w:rsid w:val="0065354F"/>
    <w:rsid w:val="006565D2"/>
    <w:rsid w:val="006569DB"/>
    <w:rsid w:val="00656C96"/>
    <w:rsid w:val="00657247"/>
    <w:rsid w:val="00660A9A"/>
    <w:rsid w:val="00660CA4"/>
    <w:rsid w:val="006614C4"/>
    <w:rsid w:val="00661591"/>
    <w:rsid w:val="0066198B"/>
    <w:rsid w:val="00662125"/>
    <w:rsid w:val="00663E9A"/>
    <w:rsid w:val="0066632F"/>
    <w:rsid w:val="006665E1"/>
    <w:rsid w:val="0066747F"/>
    <w:rsid w:val="00667BAB"/>
    <w:rsid w:val="0067057E"/>
    <w:rsid w:val="00670DD3"/>
    <w:rsid w:val="006711DA"/>
    <w:rsid w:val="0067329B"/>
    <w:rsid w:val="00674C14"/>
    <w:rsid w:val="00675380"/>
    <w:rsid w:val="0068182A"/>
    <w:rsid w:val="00681B2D"/>
    <w:rsid w:val="00684A42"/>
    <w:rsid w:val="00687192"/>
    <w:rsid w:val="00687998"/>
    <w:rsid w:val="0069047B"/>
    <w:rsid w:val="00690DCA"/>
    <w:rsid w:val="00691046"/>
    <w:rsid w:val="0069158B"/>
    <w:rsid w:val="00692569"/>
    <w:rsid w:val="006927E9"/>
    <w:rsid w:val="00692E7B"/>
    <w:rsid w:val="0069317D"/>
    <w:rsid w:val="006956A1"/>
    <w:rsid w:val="0069702B"/>
    <w:rsid w:val="006A1D74"/>
    <w:rsid w:val="006A3362"/>
    <w:rsid w:val="006A4DB5"/>
    <w:rsid w:val="006A52D6"/>
    <w:rsid w:val="006A670C"/>
    <w:rsid w:val="006A6FA2"/>
    <w:rsid w:val="006A73B3"/>
    <w:rsid w:val="006A78DD"/>
    <w:rsid w:val="006B021E"/>
    <w:rsid w:val="006B03AF"/>
    <w:rsid w:val="006B0D67"/>
    <w:rsid w:val="006B2292"/>
    <w:rsid w:val="006B230E"/>
    <w:rsid w:val="006B329D"/>
    <w:rsid w:val="006B3A5E"/>
    <w:rsid w:val="006C10EA"/>
    <w:rsid w:val="006C114E"/>
    <w:rsid w:val="006C1EB0"/>
    <w:rsid w:val="006C2535"/>
    <w:rsid w:val="006C3A41"/>
    <w:rsid w:val="006C5413"/>
    <w:rsid w:val="006C65A1"/>
    <w:rsid w:val="006C6C62"/>
    <w:rsid w:val="006C7CA9"/>
    <w:rsid w:val="006D24D3"/>
    <w:rsid w:val="006D3256"/>
    <w:rsid w:val="006D4B0D"/>
    <w:rsid w:val="006D5DC2"/>
    <w:rsid w:val="006D60B4"/>
    <w:rsid w:val="006D75E1"/>
    <w:rsid w:val="006D7F64"/>
    <w:rsid w:val="006E263E"/>
    <w:rsid w:val="006E3546"/>
    <w:rsid w:val="006E365A"/>
    <w:rsid w:val="006E38C3"/>
    <w:rsid w:val="006E4D97"/>
    <w:rsid w:val="006E7216"/>
    <w:rsid w:val="006F0F93"/>
    <w:rsid w:val="006F17B6"/>
    <w:rsid w:val="006F35FA"/>
    <w:rsid w:val="006F372A"/>
    <w:rsid w:val="006F588A"/>
    <w:rsid w:val="00703AEF"/>
    <w:rsid w:val="00704CCA"/>
    <w:rsid w:val="0070543F"/>
    <w:rsid w:val="00705BC0"/>
    <w:rsid w:val="00705C87"/>
    <w:rsid w:val="00707E10"/>
    <w:rsid w:val="00707EA6"/>
    <w:rsid w:val="00710978"/>
    <w:rsid w:val="00713044"/>
    <w:rsid w:val="00713F74"/>
    <w:rsid w:val="007146F0"/>
    <w:rsid w:val="00714C30"/>
    <w:rsid w:val="00715237"/>
    <w:rsid w:val="00715F39"/>
    <w:rsid w:val="00716F76"/>
    <w:rsid w:val="00717694"/>
    <w:rsid w:val="00720573"/>
    <w:rsid w:val="0072120E"/>
    <w:rsid w:val="00722293"/>
    <w:rsid w:val="00722F4B"/>
    <w:rsid w:val="007230FA"/>
    <w:rsid w:val="007233D4"/>
    <w:rsid w:val="00724101"/>
    <w:rsid w:val="007250F0"/>
    <w:rsid w:val="007254A5"/>
    <w:rsid w:val="00725748"/>
    <w:rsid w:val="00730353"/>
    <w:rsid w:val="00730D14"/>
    <w:rsid w:val="00734374"/>
    <w:rsid w:val="00735496"/>
    <w:rsid w:val="00735E1E"/>
    <w:rsid w:val="00736D0D"/>
    <w:rsid w:val="0073720D"/>
    <w:rsid w:val="007402E0"/>
    <w:rsid w:val="007418AE"/>
    <w:rsid w:val="00742AB9"/>
    <w:rsid w:val="00743337"/>
    <w:rsid w:val="00745016"/>
    <w:rsid w:val="00745CD3"/>
    <w:rsid w:val="00746658"/>
    <w:rsid w:val="00750A91"/>
    <w:rsid w:val="00751CF9"/>
    <w:rsid w:val="0075240B"/>
    <w:rsid w:val="0075368B"/>
    <w:rsid w:val="00754176"/>
    <w:rsid w:val="00754666"/>
    <w:rsid w:val="00754FBF"/>
    <w:rsid w:val="00755248"/>
    <w:rsid w:val="00756754"/>
    <w:rsid w:val="00757005"/>
    <w:rsid w:val="007600EB"/>
    <w:rsid w:val="0076016D"/>
    <w:rsid w:val="00760382"/>
    <w:rsid w:val="007606CE"/>
    <w:rsid w:val="00760C95"/>
    <w:rsid w:val="00762DDC"/>
    <w:rsid w:val="00762FDF"/>
    <w:rsid w:val="00763BB2"/>
    <w:rsid w:val="007643E1"/>
    <w:rsid w:val="0077029E"/>
    <w:rsid w:val="0077048E"/>
    <w:rsid w:val="00770864"/>
    <w:rsid w:val="00771E5B"/>
    <w:rsid w:val="007724AB"/>
    <w:rsid w:val="00772734"/>
    <w:rsid w:val="00774B22"/>
    <w:rsid w:val="00775344"/>
    <w:rsid w:val="00775D8A"/>
    <w:rsid w:val="0077737C"/>
    <w:rsid w:val="007777DF"/>
    <w:rsid w:val="00777ABB"/>
    <w:rsid w:val="00781BE3"/>
    <w:rsid w:val="00781CED"/>
    <w:rsid w:val="007831C7"/>
    <w:rsid w:val="00783559"/>
    <w:rsid w:val="00783B2B"/>
    <w:rsid w:val="00783B36"/>
    <w:rsid w:val="0078554C"/>
    <w:rsid w:val="00785F18"/>
    <w:rsid w:val="00786645"/>
    <w:rsid w:val="00786698"/>
    <w:rsid w:val="0079029D"/>
    <w:rsid w:val="007913EF"/>
    <w:rsid w:val="00791731"/>
    <w:rsid w:val="00791DFE"/>
    <w:rsid w:val="00792AB2"/>
    <w:rsid w:val="00793DE8"/>
    <w:rsid w:val="0079722B"/>
    <w:rsid w:val="0079799C"/>
    <w:rsid w:val="007A3BEE"/>
    <w:rsid w:val="007A4105"/>
    <w:rsid w:val="007A474C"/>
    <w:rsid w:val="007A7E45"/>
    <w:rsid w:val="007B0280"/>
    <w:rsid w:val="007B163C"/>
    <w:rsid w:val="007B2BC2"/>
    <w:rsid w:val="007B54BC"/>
    <w:rsid w:val="007B6E9D"/>
    <w:rsid w:val="007C0CE8"/>
    <w:rsid w:val="007C406E"/>
    <w:rsid w:val="007C66A9"/>
    <w:rsid w:val="007C7F09"/>
    <w:rsid w:val="007D08AB"/>
    <w:rsid w:val="007D0AC3"/>
    <w:rsid w:val="007D25B4"/>
    <w:rsid w:val="007D2C22"/>
    <w:rsid w:val="007D53C0"/>
    <w:rsid w:val="007D5658"/>
    <w:rsid w:val="007D6565"/>
    <w:rsid w:val="007E1149"/>
    <w:rsid w:val="007E2C0D"/>
    <w:rsid w:val="007E33B6"/>
    <w:rsid w:val="007E33F7"/>
    <w:rsid w:val="007E435C"/>
    <w:rsid w:val="007E6BE6"/>
    <w:rsid w:val="007F100C"/>
    <w:rsid w:val="007F1982"/>
    <w:rsid w:val="007F428E"/>
    <w:rsid w:val="007F74ED"/>
    <w:rsid w:val="0080048B"/>
    <w:rsid w:val="0080096E"/>
    <w:rsid w:val="00804351"/>
    <w:rsid w:val="008050E6"/>
    <w:rsid w:val="00806B95"/>
    <w:rsid w:val="00807805"/>
    <w:rsid w:val="00810CFA"/>
    <w:rsid w:val="00811392"/>
    <w:rsid w:val="00812028"/>
    <w:rsid w:val="00812B7B"/>
    <w:rsid w:val="00814D03"/>
    <w:rsid w:val="0081537D"/>
    <w:rsid w:val="00816074"/>
    <w:rsid w:val="00820F4D"/>
    <w:rsid w:val="00824629"/>
    <w:rsid w:val="00826C42"/>
    <w:rsid w:val="0083178B"/>
    <w:rsid w:val="00833695"/>
    <w:rsid w:val="008338B7"/>
    <w:rsid w:val="00834F99"/>
    <w:rsid w:val="00835F69"/>
    <w:rsid w:val="008364EF"/>
    <w:rsid w:val="0083788B"/>
    <w:rsid w:val="00837C66"/>
    <w:rsid w:val="008407B5"/>
    <w:rsid w:val="008409AE"/>
    <w:rsid w:val="00842A21"/>
    <w:rsid w:val="00842CD8"/>
    <w:rsid w:val="008435CC"/>
    <w:rsid w:val="00845E1F"/>
    <w:rsid w:val="008517DE"/>
    <w:rsid w:val="00851BC3"/>
    <w:rsid w:val="008520D8"/>
    <w:rsid w:val="008525B2"/>
    <w:rsid w:val="008530B2"/>
    <w:rsid w:val="0085531B"/>
    <w:rsid w:val="008553C7"/>
    <w:rsid w:val="00857770"/>
    <w:rsid w:val="00857FEB"/>
    <w:rsid w:val="00860B95"/>
    <w:rsid w:val="008616E0"/>
    <w:rsid w:val="00861983"/>
    <w:rsid w:val="00862050"/>
    <w:rsid w:val="008624AD"/>
    <w:rsid w:val="008624F0"/>
    <w:rsid w:val="008646B0"/>
    <w:rsid w:val="00864B45"/>
    <w:rsid w:val="008666D2"/>
    <w:rsid w:val="00871B05"/>
    <w:rsid w:val="008720EB"/>
    <w:rsid w:val="008729B8"/>
    <w:rsid w:val="008735BA"/>
    <w:rsid w:val="00873E5C"/>
    <w:rsid w:val="008753FC"/>
    <w:rsid w:val="008777AA"/>
    <w:rsid w:val="008802A6"/>
    <w:rsid w:val="00880A18"/>
    <w:rsid w:val="008812FB"/>
    <w:rsid w:val="00882814"/>
    <w:rsid w:val="00886E97"/>
    <w:rsid w:val="00890092"/>
    <w:rsid w:val="00891692"/>
    <w:rsid w:val="00892002"/>
    <w:rsid w:val="008934AE"/>
    <w:rsid w:val="008934E6"/>
    <w:rsid w:val="00895FE6"/>
    <w:rsid w:val="008A27B2"/>
    <w:rsid w:val="008A29FE"/>
    <w:rsid w:val="008A46A9"/>
    <w:rsid w:val="008A5A3F"/>
    <w:rsid w:val="008A646F"/>
    <w:rsid w:val="008A702B"/>
    <w:rsid w:val="008A7174"/>
    <w:rsid w:val="008B1BE5"/>
    <w:rsid w:val="008B378C"/>
    <w:rsid w:val="008B3929"/>
    <w:rsid w:val="008B3C2F"/>
    <w:rsid w:val="008B4118"/>
    <w:rsid w:val="008B4208"/>
    <w:rsid w:val="008B45D6"/>
    <w:rsid w:val="008B4CB3"/>
    <w:rsid w:val="008B54B2"/>
    <w:rsid w:val="008B67EB"/>
    <w:rsid w:val="008B720C"/>
    <w:rsid w:val="008B731A"/>
    <w:rsid w:val="008C2425"/>
    <w:rsid w:val="008C2444"/>
    <w:rsid w:val="008C3667"/>
    <w:rsid w:val="008C3F57"/>
    <w:rsid w:val="008C46FD"/>
    <w:rsid w:val="008C5B1C"/>
    <w:rsid w:val="008C67AF"/>
    <w:rsid w:val="008C78FD"/>
    <w:rsid w:val="008D0EBE"/>
    <w:rsid w:val="008D1BC6"/>
    <w:rsid w:val="008D2355"/>
    <w:rsid w:val="008D2FA9"/>
    <w:rsid w:val="008D3696"/>
    <w:rsid w:val="008D3CEA"/>
    <w:rsid w:val="008D5B01"/>
    <w:rsid w:val="008E012B"/>
    <w:rsid w:val="008E16C9"/>
    <w:rsid w:val="008E22BC"/>
    <w:rsid w:val="008E29B4"/>
    <w:rsid w:val="008E35E2"/>
    <w:rsid w:val="008E5F59"/>
    <w:rsid w:val="008E7AC3"/>
    <w:rsid w:val="008F0C84"/>
    <w:rsid w:val="008F1B70"/>
    <w:rsid w:val="008F2143"/>
    <w:rsid w:val="008F4A8D"/>
    <w:rsid w:val="0090008C"/>
    <w:rsid w:val="00900C34"/>
    <w:rsid w:val="00901121"/>
    <w:rsid w:val="00901DEF"/>
    <w:rsid w:val="00902FF2"/>
    <w:rsid w:val="00903B67"/>
    <w:rsid w:val="00905B6D"/>
    <w:rsid w:val="0090647C"/>
    <w:rsid w:val="0090651A"/>
    <w:rsid w:val="0091000A"/>
    <w:rsid w:val="00910642"/>
    <w:rsid w:val="00915FE5"/>
    <w:rsid w:val="009160BB"/>
    <w:rsid w:val="009164C9"/>
    <w:rsid w:val="009166AD"/>
    <w:rsid w:val="00917821"/>
    <w:rsid w:val="00917BAC"/>
    <w:rsid w:val="00921A22"/>
    <w:rsid w:val="00927293"/>
    <w:rsid w:val="009311C8"/>
    <w:rsid w:val="00933376"/>
    <w:rsid w:val="009335C9"/>
    <w:rsid w:val="009336FC"/>
    <w:rsid w:val="00936657"/>
    <w:rsid w:val="00937CE6"/>
    <w:rsid w:val="00940C5F"/>
    <w:rsid w:val="00942355"/>
    <w:rsid w:val="00943F25"/>
    <w:rsid w:val="00944F01"/>
    <w:rsid w:val="00945691"/>
    <w:rsid w:val="00946D29"/>
    <w:rsid w:val="0095050D"/>
    <w:rsid w:val="009513C2"/>
    <w:rsid w:val="0095259F"/>
    <w:rsid w:val="009534EF"/>
    <w:rsid w:val="0095352B"/>
    <w:rsid w:val="0095358D"/>
    <w:rsid w:val="00955A7F"/>
    <w:rsid w:val="0095748C"/>
    <w:rsid w:val="0096077C"/>
    <w:rsid w:val="0096143B"/>
    <w:rsid w:val="00961C28"/>
    <w:rsid w:val="00961FA7"/>
    <w:rsid w:val="009627A5"/>
    <w:rsid w:val="00962C56"/>
    <w:rsid w:val="00963E53"/>
    <w:rsid w:val="00964BBF"/>
    <w:rsid w:val="00964F30"/>
    <w:rsid w:val="00965FD5"/>
    <w:rsid w:val="009668DE"/>
    <w:rsid w:val="00967346"/>
    <w:rsid w:val="009711D9"/>
    <w:rsid w:val="009718F9"/>
    <w:rsid w:val="00975112"/>
    <w:rsid w:val="00975202"/>
    <w:rsid w:val="009753D7"/>
    <w:rsid w:val="00977002"/>
    <w:rsid w:val="009774C4"/>
    <w:rsid w:val="009811DF"/>
    <w:rsid w:val="00982B90"/>
    <w:rsid w:val="00982E82"/>
    <w:rsid w:val="00983333"/>
    <w:rsid w:val="00983A7C"/>
    <w:rsid w:val="00984D7B"/>
    <w:rsid w:val="00991B5F"/>
    <w:rsid w:val="00991C2E"/>
    <w:rsid w:val="0099294D"/>
    <w:rsid w:val="00993558"/>
    <w:rsid w:val="00997999"/>
    <w:rsid w:val="009A0FF6"/>
    <w:rsid w:val="009A15FA"/>
    <w:rsid w:val="009A342B"/>
    <w:rsid w:val="009A3B71"/>
    <w:rsid w:val="009A3CA0"/>
    <w:rsid w:val="009A513F"/>
    <w:rsid w:val="009A542C"/>
    <w:rsid w:val="009A61BC"/>
    <w:rsid w:val="009A6527"/>
    <w:rsid w:val="009A676D"/>
    <w:rsid w:val="009A727A"/>
    <w:rsid w:val="009B1466"/>
    <w:rsid w:val="009B23D3"/>
    <w:rsid w:val="009B24B7"/>
    <w:rsid w:val="009B27FB"/>
    <w:rsid w:val="009B41E7"/>
    <w:rsid w:val="009B424D"/>
    <w:rsid w:val="009B4552"/>
    <w:rsid w:val="009B57FB"/>
    <w:rsid w:val="009B7709"/>
    <w:rsid w:val="009C1AC6"/>
    <w:rsid w:val="009C1C75"/>
    <w:rsid w:val="009C23AB"/>
    <w:rsid w:val="009C37AE"/>
    <w:rsid w:val="009C42BC"/>
    <w:rsid w:val="009C4AAC"/>
    <w:rsid w:val="009C4F04"/>
    <w:rsid w:val="009C692B"/>
    <w:rsid w:val="009D277F"/>
    <w:rsid w:val="009D7120"/>
    <w:rsid w:val="009D7DFA"/>
    <w:rsid w:val="009E042D"/>
    <w:rsid w:val="009E1B8B"/>
    <w:rsid w:val="009E37E6"/>
    <w:rsid w:val="009E584D"/>
    <w:rsid w:val="009E6427"/>
    <w:rsid w:val="009E71C1"/>
    <w:rsid w:val="009F2C0D"/>
    <w:rsid w:val="009F3851"/>
    <w:rsid w:val="00A02980"/>
    <w:rsid w:val="00A04081"/>
    <w:rsid w:val="00A043B4"/>
    <w:rsid w:val="00A04DC0"/>
    <w:rsid w:val="00A06827"/>
    <w:rsid w:val="00A07737"/>
    <w:rsid w:val="00A07D00"/>
    <w:rsid w:val="00A10614"/>
    <w:rsid w:val="00A10E98"/>
    <w:rsid w:val="00A11768"/>
    <w:rsid w:val="00A12458"/>
    <w:rsid w:val="00A13499"/>
    <w:rsid w:val="00A140D0"/>
    <w:rsid w:val="00A149C1"/>
    <w:rsid w:val="00A14A93"/>
    <w:rsid w:val="00A167EA"/>
    <w:rsid w:val="00A2172A"/>
    <w:rsid w:val="00A21A93"/>
    <w:rsid w:val="00A21B3B"/>
    <w:rsid w:val="00A2455B"/>
    <w:rsid w:val="00A245B7"/>
    <w:rsid w:val="00A25B4A"/>
    <w:rsid w:val="00A27328"/>
    <w:rsid w:val="00A277F9"/>
    <w:rsid w:val="00A30E68"/>
    <w:rsid w:val="00A31885"/>
    <w:rsid w:val="00A329BF"/>
    <w:rsid w:val="00A33763"/>
    <w:rsid w:val="00A34AA0"/>
    <w:rsid w:val="00A35B30"/>
    <w:rsid w:val="00A35BEC"/>
    <w:rsid w:val="00A373C4"/>
    <w:rsid w:val="00A37B8E"/>
    <w:rsid w:val="00A41EFC"/>
    <w:rsid w:val="00A4371E"/>
    <w:rsid w:val="00A47733"/>
    <w:rsid w:val="00A511CD"/>
    <w:rsid w:val="00A551E6"/>
    <w:rsid w:val="00A56946"/>
    <w:rsid w:val="00A578D8"/>
    <w:rsid w:val="00A61759"/>
    <w:rsid w:val="00A63889"/>
    <w:rsid w:val="00A6421B"/>
    <w:rsid w:val="00A64A23"/>
    <w:rsid w:val="00A65FF9"/>
    <w:rsid w:val="00A70E93"/>
    <w:rsid w:val="00A71A15"/>
    <w:rsid w:val="00A7493F"/>
    <w:rsid w:val="00A74DEC"/>
    <w:rsid w:val="00A76D10"/>
    <w:rsid w:val="00A76DC7"/>
    <w:rsid w:val="00A77D7A"/>
    <w:rsid w:val="00A824F4"/>
    <w:rsid w:val="00A84B60"/>
    <w:rsid w:val="00A84E68"/>
    <w:rsid w:val="00A84F62"/>
    <w:rsid w:val="00A8630D"/>
    <w:rsid w:val="00A87B6C"/>
    <w:rsid w:val="00A908F9"/>
    <w:rsid w:val="00A91B1B"/>
    <w:rsid w:val="00A9351D"/>
    <w:rsid w:val="00A93A07"/>
    <w:rsid w:val="00A94A09"/>
    <w:rsid w:val="00A967EE"/>
    <w:rsid w:val="00A97E76"/>
    <w:rsid w:val="00AA4277"/>
    <w:rsid w:val="00AA4C2B"/>
    <w:rsid w:val="00AA4D58"/>
    <w:rsid w:val="00AA5B94"/>
    <w:rsid w:val="00AA6265"/>
    <w:rsid w:val="00AB290D"/>
    <w:rsid w:val="00AB4880"/>
    <w:rsid w:val="00AB5963"/>
    <w:rsid w:val="00AB762B"/>
    <w:rsid w:val="00AB78E0"/>
    <w:rsid w:val="00AC078C"/>
    <w:rsid w:val="00AC0810"/>
    <w:rsid w:val="00AC0B3D"/>
    <w:rsid w:val="00AC1ED1"/>
    <w:rsid w:val="00AC211D"/>
    <w:rsid w:val="00AC3701"/>
    <w:rsid w:val="00AC49D8"/>
    <w:rsid w:val="00AC523C"/>
    <w:rsid w:val="00AC567F"/>
    <w:rsid w:val="00AD0CCB"/>
    <w:rsid w:val="00AD0D21"/>
    <w:rsid w:val="00AD24CE"/>
    <w:rsid w:val="00AD279E"/>
    <w:rsid w:val="00AD2B11"/>
    <w:rsid w:val="00AD2B89"/>
    <w:rsid w:val="00AD3A3C"/>
    <w:rsid w:val="00AD4C00"/>
    <w:rsid w:val="00AD5C2E"/>
    <w:rsid w:val="00AD5E3A"/>
    <w:rsid w:val="00AE11B7"/>
    <w:rsid w:val="00AE1D85"/>
    <w:rsid w:val="00AE21F8"/>
    <w:rsid w:val="00AE4E07"/>
    <w:rsid w:val="00AE5230"/>
    <w:rsid w:val="00AE5901"/>
    <w:rsid w:val="00AE77B6"/>
    <w:rsid w:val="00AF0612"/>
    <w:rsid w:val="00AF0888"/>
    <w:rsid w:val="00AF2170"/>
    <w:rsid w:val="00AF2F4F"/>
    <w:rsid w:val="00AF36B0"/>
    <w:rsid w:val="00AF4DF8"/>
    <w:rsid w:val="00AF56DC"/>
    <w:rsid w:val="00AF612D"/>
    <w:rsid w:val="00AF6CAF"/>
    <w:rsid w:val="00AF7691"/>
    <w:rsid w:val="00AF7F47"/>
    <w:rsid w:val="00B00A55"/>
    <w:rsid w:val="00B00F22"/>
    <w:rsid w:val="00B02AEA"/>
    <w:rsid w:val="00B0568F"/>
    <w:rsid w:val="00B06444"/>
    <w:rsid w:val="00B0686B"/>
    <w:rsid w:val="00B06C4D"/>
    <w:rsid w:val="00B06CE6"/>
    <w:rsid w:val="00B06D4B"/>
    <w:rsid w:val="00B07CA3"/>
    <w:rsid w:val="00B1151F"/>
    <w:rsid w:val="00B201ED"/>
    <w:rsid w:val="00B214B2"/>
    <w:rsid w:val="00B21A1E"/>
    <w:rsid w:val="00B24584"/>
    <w:rsid w:val="00B24C4A"/>
    <w:rsid w:val="00B25CD9"/>
    <w:rsid w:val="00B26CCF"/>
    <w:rsid w:val="00B30004"/>
    <w:rsid w:val="00B30353"/>
    <w:rsid w:val="00B316B9"/>
    <w:rsid w:val="00B322C1"/>
    <w:rsid w:val="00B34C1E"/>
    <w:rsid w:val="00B35331"/>
    <w:rsid w:val="00B36546"/>
    <w:rsid w:val="00B424BA"/>
    <w:rsid w:val="00B464BB"/>
    <w:rsid w:val="00B51544"/>
    <w:rsid w:val="00B52E2F"/>
    <w:rsid w:val="00B531DD"/>
    <w:rsid w:val="00B54564"/>
    <w:rsid w:val="00B55390"/>
    <w:rsid w:val="00B563EF"/>
    <w:rsid w:val="00B56A07"/>
    <w:rsid w:val="00B56D45"/>
    <w:rsid w:val="00B572E8"/>
    <w:rsid w:val="00B603B4"/>
    <w:rsid w:val="00B60860"/>
    <w:rsid w:val="00B61649"/>
    <w:rsid w:val="00B63309"/>
    <w:rsid w:val="00B645D2"/>
    <w:rsid w:val="00B64F46"/>
    <w:rsid w:val="00B65BCE"/>
    <w:rsid w:val="00B6601B"/>
    <w:rsid w:val="00B67E6B"/>
    <w:rsid w:val="00B70059"/>
    <w:rsid w:val="00B717B0"/>
    <w:rsid w:val="00B71DC2"/>
    <w:rsid w:val="00B73546"/>
    <w:rsid w:val="00B74DD5"/>
    <w:rsid w:val="00B74F88"/>
    <w:rsid w:val="00B76565"/>
    <w:rsid w:val="00B76A6E"/>
    <w:rsid w:val="00B80F68"/>
    <w:rsid w:val="00B8104E"/>
    <w:rsid w:val="00B84A83"/>
    <w:rsid w:val="00B879C7"/>
    <w:rsid w:val="00B90D3F"/>
    <w:rsid w:val="00B90DA2"/>
    <w:rsid w:val="00B93893"/>
    <w:rsid w:val="00B95E58"/>
    <w:rsid w:val="00B95FC2"/>
    <w:rsid w:val="00B979F2"/>
    <w:rsid w:val="00B97DCD"/>
    <w:rsid w:val="00BA06AC"/>
    <w:rsid w:val="00BA0997"/>
    <w:rsid w:val="00BA1B1C"/>
    <w:rsid w:val="00BA2CB0"/>
    <w:rsid w:val="00BA3472"/>
    <w:rsid w:val="00BA4B8B"/>
    <w:rsid w:val="00BA537F"/>
    <w:rsid w:val="00BA5E9E"/>
    <w:rsid w:val="00BA6C14"/>
    <w:rsid w:val="00BA6C47"/>
    <w:rsid w:val="00BA770E"/>
    <w:rsid w:val="00BA77F1"/>
    <w:rsid w:val="00BA7A60"/>
    <w:rsid w:val="00BA7EDA"/>
    <w:rsid w:val="00BB11E1"/>
    <w:rsid w:val="00BB1594"/>
    <w:rsid w:val="00BB1670"/>
    <w:rsid w:val="00BB22D0"/>
    <w:rsid w:val="00BB2BC0"/>
    <w:rsid w:val="00BB6DA1"/>
    <w:rsid w:val="00BB7A2F"/>
    <w:rsid w:val="00BB7ABD"/>
    <w:rsid w:val="00BB7EB7"/>
    <w:rsid w:val="00BC02E9"/>
    <w:rsid w:val="00BC0A80"/>
    <w:rsid w:val="00BC12A3"/>
    <w:rsid w:val="00BC3B53"/>
    <w:rsid w:val="00BC42C2"/>
    <w:rsid w:val="00BC4A98"/>
    <w:rsid w:val="00BC4D64"/>
    <w:rsid w:val="00BC5562"/>
    <w:rsid w:val="00BC56F5"/>
    <w:rsid w:val="00BC7D8C"/>
    <w:rsid w:val="00BD0F12"/>
    <w:rsid w:val="00BD1454"/>
    <w:rsid w:val="00BD2B79"/>
    <w:rsid w:val="00BD3B99"/>
    <w:rsid w:val="00BD4372"/>
    <w:rsid w:val="00BD4929"/>
    <w:rsid w:val="00BD5DFC"/>
    <w:rsid w:val="00BD7AE6"/>
    <w:rsid w:val="00BE0B32"/>
    <w:rsid w:val="00BE0C8A"/>
    <w:rsid w:val="00BE2497"/>
    <w:rsid w:val="00BE458E"/>
    <w:rsid w:val="00BE5564"/>
    <w:rsid w:val="00BF1365"/>
    <w:rsid w:val="00BF1673"/>
    <w:rsid w:val="00BF2B59"/>
    <w:rsid w:val="00BF2C4F"/>
    <w:rsid w:val="00BF2E81"/>
    <w:rsid w:val="00BF31A9"/>
    <w:rsid w:val="00BF37A3"/>
    <w:rsid w:val="00BF3D01"/>
    <w:rsid w:val="00BF5B51"/>
    <w:rsid w:val="00BF7B10"/>
    <w:rsid w:val="00C00B67"/>
    <w:rsid w:val="00C00F4E"/>
    <w:rsid w:val="00C01061"/>
    <w:rsid w:val="00C010DC"/>
    <w:rsid w:val="00C05318"/>
    <w:rsid w:val="00C10869"/>
    <w:rsid w:val="00C117E2"/>
    <w:rsid w:val="00C12C00"/>
    <w:rsid w:val="00C12E90"/>
    <w:rsid w:val="00C12EB9"/>
    <w:rsid w:val="00C1320B"/>
    <w:rsid w:val="00C132C6"/>
    <w:rsid w:val="00C14CC1"/>
    <w:rsid w:val="00C15361"/>
    <w:rsid w:val="00C16DD0"/>
    <w:rsid w:val="00C172C2"/>
    <w:rsid w:val="00C206F1"/>
    <w:rsid w:val="00C26035"/>
    <w:rsid w:val="00C26079"/>
    <w:rsid w:val="00C27206"/>
    <w:rsid w:val="00C30AC1"/>
    <w:rsid w:val="00C3189F"/>
    <w:rsid w:val="00C3256E"/>
    <w:rsid w:val="00C33340"/>
    <w:rsid w:val="00C3445F"/>
    <w:rsid w:val="00C35421"/>
    <w:rsid w:val="00C35A91"/>
    <w:rsid w:val="00C371A6"/>
    <w:rsid w:val="00C40C60"/>
    <w:rsid w:val="00C42F03"/>
    <w:rsid w:val="00C43022"/>
    <w:rsid w:val="00C447C0"/>
    <w:rsid w:val="00C458C9"/>
    <w:rsid w:val="00C46B84"/>
    <w:rsid w:val="00C50ECF"/>
    <w:rsid w:val="00C52281"/>
    <w:rsid w:val="00C52E42"/>
    <w:rsid w:val="00C53426"/>
    <w:rsid w:val="00C54BB8"/>
    <w:rsid w:val="00C54FEA"/>
    <w:rsid w:val="00C55E5A"/>
    <w:rsid w:val="00C56BE8"/>
    <w:rsid w:val="00C60E49"/>
    <w:rsid w:val="00C62A0B"/>
    <w:rsid w:val="00C63108"/>
    <w:rsid w:val="00C638E2"/>
    <w:rsid w:val="00C6537C"/>
    <w:rsid w:val="00C666E4"/>
    <w:rsid w:val="00C71CC4"/>
    <w:rsid w:val="00C812F7"/>
    <w:rsid w:val="00C81AF8"/>
    <w:rsid w:val="00C833B6"/>
    <w:rsid w:val="00C852C7"/>
    <w:rsid w:val="00C85838"/>
    <w:rsid w:val="00C876B7"/>
    <w:rsid w:val="00C90424"/>
    <w:rsid w:val="00C90846"/>
    <w:rsid w:val="00C91B2C"/>
    <w:rsid w:val="00C92CA5"/>
    <w:rsid w:val="00C93B39"/>
    <w:rsid w:val="00C95961"/>
    <w:rsid w:val="00C970B9"/>
    <w:rsid w:val="00CA0A69"/>
    <w:rsid w:val="00CA0E76"/>
    <w:rsid w:val="00CA40F8"/>
    <w:rsid w:val="00CA473C"/>
    <w:rsid w:val="00CA47D3"/>
    <w:rsid w:val="00CA52E3"/>
    <w:rsid w:val="00CA53DE"/>
    <w:rsid w:val="00CA58C3"/>
    <w:rsid w:val="00CA5BC9"/>
    <w:rsid w:val="00CA6A55"/>
    <w:rsid w:val="00CA6DEF"/>
    <w:rsid w:val="00CB156F"/>
    <w:rsid w:val="00CB18F9"/>
    <w:rsid w:val="00CB1BBD"/>
    <w:rsid w:val="00CB3777"/>
    <w:rsid w:val="00CB484D"/>
    <w:rsid w:val="00CB5A73"/>
    <w:rsid w:val="00CB6044"/>
    <w:rsid w:val="00CB6E6F"/>
    <w:rsid w:val="00CC0BB4"/>
    <w:rsid w:val="00CC0E78"/>
    <w:rsid w:val="00CC12DF"/>
    <w:rsid w:val="00CC2263"/>
    <w:rsid w:val="00CC4D8D"/>
    <w:rsid w:val="00CC63E0"/>
    <w:rsid w:val="00CC6FDD"/>
    <w:rsid w:val="00CD1689"/>
    <w:rsid w:val="00CD2492"/>
    <w:rsid w:val="00CD24EE"/>
    <w:rsid w:val="00CD47BA"/>
    <w:rsid w:val="00CD5427"/>
    <w:rsid w:val="00CD604A"/>
    <w:rsid w:val="00CD6791"/>
    <w:rsid w:val="00CD7B6F"/>
    <w:rsid w:val="00CE15C4"/>
    <w:rsid w:val="00CE2E6A"/>
    <w:rsid w:val="00CE2EA9"/>
    <w:rsid w:val="00CE41DA"/>
    <w:rsid w:val="00CE6D64"/>
    <w:rsid w:val="00CE74D9"/>
    <w:rsid w:val="00CF053F"/>
    <w:rsid w:val="00CF0A55"/>
    <w:rsid w:val="00CF301C"/>
    <w:rsid w:val="00CF5E16"/>
    <w:rsid w:val="00CF7853"/>
    <w:rsid w:val="00CF7C8B"/>
    <w:rsid w:val="00D00180"/>
    <w:rsid w:val="00D00793"/>
    <w:rsid w:val="00D01D15"/>
    <w:rsid w:val="00D04083"/>
    <w:rsid w:val="00D05051"/>
    <w:rsid w:val="00D055D6"/>
    <w:rsid w:val="00D058AE"/>
    <w:rsid w:val="00D06BC6"/>
    <w:rsid w:val="00D078E1"/>
    <w:rsid w:val="00D07E60"/>
    <w:rsid w:val="00D102D2"/>
    <w:rsid w:val="00D10AEF"/>
    <w:rsid w:val="00D12A7F"/>
    <w:rsid w:val="00D131D6"/>
    <w:rsid w:val="00D135BA"/>
    <w:rsid w:val="00D17A1D"/>
    <w:rsid w:val="00D20C77"/>
    <w:rsid w:val="00D218AC"/>
    <w:rsid w:val="00D221A6"/>
    <w:rsid w:val="00D223FF"/>
    <w:rsid w:val="00D22C2F"/>
    <w:rsid w:val="00D232A2"/>
    <w:rsid w:val="00D23522"/>
    <w:rsid w:val="00D24B3A"/>
    <w:rsid w:val="00D25C90"/>
    <w:rsid w:val="00D25F5C"/>
    <w:rsid w:val="00D26196"/>
    <w:rsid w:val="00D2747D"/>
    <w:rsid w:val="00D279AE"/>
    <w:rsid w:val="00D30900"/>
    <w:rsid w:val="00D30F08"/>
    <w:rsid w:val="00D311EA"/>
    <w:rsid w:val="00D31C61"/>
    <w:rsid w:val="00D323BE"/>
    <w:rsid w:val="00D32F98"/>
    <w:rsid w:val="00D358D8"/>
    <w:rsid w:val="00D365C5"/>
    <w:rsid w:val="00D36C95"/>
    <w:rsid w:val="00D405AB"/>
    <w:rsid w:val="00D41280"/>
    <w:rsid w:val="00D43528"/>
    <w:rsid w:val="00D45EB0"/>
    <w:rsid w:val="00D46125"/>
    <w:rsid w:val="00D52800"/>
    <w:rsid w:val="00D52F46"/>
    <w:rsid w:val="00D5423B"/>
    <w:rsid w:val="00D54F4E"/>
    <w:rsid w:val="00D55865"/>
    <w:rsid w:val="00D56200"/>
    <w:rsid w:val="00D56274"/>
    <w:rsid w:val="00D60BA4"/>
    <w:rsid w:val="00D61E03"/>
    <w:rsid w:val="00D62F23"/>
    <w:rsid w:val="00D64C9D"/>
    <w:rsid w:val="00D6528F"/>
    <w:rsid w:val="00D67A7A"/>
    <w:rsid w:val="00D67F8F"/>
    <w:rsid w:val="00D711A5"/>
    <w:rsid w:val="00D713FF"/>
    <w:rsid w:val="00D72421"/>
    <w:rsid w:val="00D734E5"/>
    <w:rsid w:val="00D73F97"/>
    <w:rsid w:val="00D745A7"/>
    <w:rsid w:val="00D74D0A"/>
    <w:rsid w:val="00D767FA"/>
    <w:rsid w:val="00D80546"/>
    <w:rsid w:val="00D80CCE"/>
    <w:rsid w:val="00D81D90"/>
    <w:rsid w:val="00D82202"/>
    <w:rsid w:val="00D83104"/>
    <w:rsid w:val="00D83137"/>
    <w:rsid w:val="00D85213"/>
    <w:rsid w:val="00D85A93"/>
    <w:rsid w:val="00D85AA5"/>
    <w:rsid w:val="00D87FF1"/>
    <w:rsid w:val="00D92483"/>
    <w:rsid w:val="00D92633"/>
    <w:rsid w:val="00D93CE9"/>
    <w:rsid w:val="00D94DB4"/>
    <w:rsid w:val="00D951CB"/>
    <w:rsid w:val="00DA07F4"/>
    <w:rsid w:val="00DA11ED"/>
    <w:rsid w:val="00DA2288"/>
    <w:rsid w:val="00DA243E"/>
    <w:rsid w:val="00DA298C"/>
    <w:rsid w:val="00DB030C"/>
    <w:rsid w:val="00DB2280"/>
    <w:rsid w:val="00DB3551"/>
    <w:rsid w:val="00DB403F"/>
    <w:rsid w:val="00DB49BC"/>
    <w:rsid w:val="00DB4A3A"/>
    <w:rsid w:val="00DB4FA7"/>
    <w:rsid w:val="00DB7D94"/>
    <w:rsid w:val="00DC0072"/>
    <w:rsid w:val="00DC1AA9"/>
    <w:rsid w:val="00DC2000"/>
    <w:rsid w:val="00DC6E11"/>
    <w:rsid w:val="00DC7309"/>
    <w:rsid w:val="00DD1B91"/>
    <w:rsid w:val="00DD368B"/>
    <w:rsid w:val="00DD5469"/>
    <w:rsid w:val="00DD6E29"/>
    <w:rsid w:val="00DE2DA8"/>
    <w:rsid w:val="00DE343C"/>
    <w:rsid w:val="00DE575C"/>
    <w:rsid w:val="00DE578A"/>
    <w:rsid w:val="00DE5D8B"/>
    <w:rsid w:val="00DE6AC5"/>
    <w:rsid w:val="00DE6E7E"/>
    <w:rsid w:val="00DE72F6"/>
    <w:rsid w:val="00DE7DDA"/>
    <w:rsid w:val="00DF1D1E"/>
    <w:rsid w:val="00DF2583"/>
    <w:rsid w:val="00DF54D9"/>
    <w:rsid w:val="00DF63F2"/>
    <w:rsid w:val="00DF6973"/>
    <w:rsid w:val="00DF79E9"/>
    <w:rsid w:val="00E00687"/>
    <w:rsid w:val="00E008CB"/>
    <w:rsid w:val="00E021C8"/>
    <w:rsid w:val="00E03D32"/>
    <w:rsid w:val="00E03E8B"/>
    <w:rsid w:val="00E04465"/>
    <w:rsid w:val="00E04E34"/>
    <w:rsid w:val="00E05FDB"/>
    <w:rsid w:val="00E10991"/>
    <w:rsid w:val="00E10DC6"/>
    <w:rsid w:val="00E11F8E"/>
    <w:rsid w:val="00E12B7F"/>
    <w:rsid w:val="00E145EA"/>
    <w:rsid w:val="00E17944"/>
    <w:rsid w:val="00E17BC5"/>
    <w:rsid w:val="00E20A86"/>
    <w:rsid w:val="00E22722"/>
    <w:rsid w:val="00E22FFF"/>
    <w:rsid w:val="00E2347F"/>
    <w:rsid w:val="00E2424B"/>
    <w:rsid w:val="00E24702"/>
    <w:rsid w:val="00E276B2"/>
    <w:rsid w:val="00E33FD4"/>
    <w:rsid w:val="00E34ED6"/>
    <w:rsid w:val="00E3596E"/>
    <w:rsid w:val="00E35A07"/>
    <w:rsid w:val="00E364EF"/>
    <w:rsid w:val="00E37AFA"/>
    <w:rsid w:val="00E4094E"/>
    <w:rsid w:val="00E41B43"/>
    <w:rsid w:val="00E426A4"/>
    <w:rsid w:val="00E42D22"/>
    <w:rsid w:val="00E4573C"/>
    <w:rsid w:val="00E458E2"/>
    <w:rsid w:val="00E45F37"/>
    <w:rsid w:val="00E466F2"/>
    <w:rsid w:val="00E50A17"/>
    <w:rsid w:val="00E50BD4"/>
    <w:rsid w:val="00E51959"/>
    <w:rsid w:val="00E55E9C"/>
    <w:rsid w:val="00E56173"/>
    <w:rsid w:val="00E56899"/>
    <w:rsid w:val="00E56ADD"/>
    <w:rsid w:val="00E575BA"/>
    <w:rsid w:val="00E5788D"/>
    <w:rsid w:val="00E57CC8"/>
    <w:rsid w:val="00E6066F"/>
    <w:rsid w:val="00E62286"/>
    <w:rsid w:val="00E634B6"/>
    <w:rsid w:val="00E634E3"/>
    <w:rsid w:val="00E6378C"/>
    <w:rsid w:val="00E645B1"/>
    <w:rsid w:val="00E6586E"/>
    <w:rsid w:val="00E659A6"/>
    <w:rsid w:val="00E724F5"/>
    <w:rsid w:val="00E75C19"/>
    <w:rsid w:val="00E75D2C"/>
    <w:rsid w:val="00E80F31"/>
    <w:rsid w:val="00E82965"/>
    <w:rsid w:val="00E85102"/>
    <w:rsid w:val="00E8592D"/>
    <w:rsid w:val="00E86633"/>
    <w:rsid w:val="00E876A6"/>
    <w:rsid w:val="00E91D95"/>
    <w:rsid w:val="00E9497F"/>
    <w:rsid w:val="00E961E9"/>
    <w:rsid w:val="00E96D0E"/>
    <w:rsid w:val="00EA0AA8"/>
    <w:rsid w:val="00EA114B"/>
    <w:rsid w:val="00EA14C5"/>
    <w:rsid w:val="00EA1765"/>
    <w:rsid w:val="00EA26EF"/>
    <w:rsid w:val="00EA31F1"/>
    <w:rsid w:val="00EA3241"/>
    <w:rsid w:val="00EA3634"/>
    <w:rsid w:val="00EA3B5F"/>
    <w:rsid w:val="00EA3C7D"/>
    <w:rsid w:val="00EA5786"/>
    <w:rsid w:val="00EA615D"/>
    <w:rsid w:val="00EA75C1"/>
    <w:rsid w:val="00EA7B10"/>
    <w:rsid w:val="00EB141A"/>
    <w:rsid w:val="00EB1EC3"/>
    <w:rsid w:val="00EB2DEB"/>
    <w:rsid w:val="00EB40BD"/>
    <w:rsid w:val="00EB6D1A"/>
    <w:rsid w:val="00EB7038"/>
    <w:rsid w:val="00EB7550"/>
    <w:rsid w:val="00EB7C2E"/>
    <w:rsid w:val="00EC0F04"/>
    <w:rsid w:val="00EC1309"/>
    <w:rsid w:val="00EC237D"/>
    <w:rsid w:val="00EC3951"/>
    <w:rsid w:val="00EC5656"/>
    <w:rsid w:val="00EC5F70"/>
    <w:rsid w:val="00EC644A"/>
    <w:rsid w:val="00EC6AAB"/>
    <w:rsid w:val="00EC6F2A"/>
    <w:rsid w:val="00ED25D1"/>
    <w:rsid w:val="00ED2F32"/>
    <w:rsid w:val="00ED4248"/>
    <w:rsid w:val="00ED5429"/>
    <w:rsid w:val="00ED5870"/>
    <w:rsid w:val="00ED60CA"/>
    <w:rsid w:val="00ED64EF"/>
    <w:rsid w:val="00ED6CDA"/>
    <w:rsid w:val="00ED7830"/>
    <w:rsid w:val="00EE0CAE"/>
    <w:rsid w:val="00EE0EC3"/>
    <w:rsid w:val="00EE1819"/>
    <w:rsid w:val="00EE1A75"/>
    <w:rsid w:val="00EE1B9E"/>
    <w:rsid w:val="00EE1DC0"/>
    <w:rsid w:val="00EE4A1F"/>
    <w:rsid w:val="00EE53EA"/>
    <w:rsid w:val="00EF009A"/>
    <w:rsid w:val="00EF0D0D"/>
    <w:rsid w:val="00EF0ED5"/>
    <w:rsid w:val="00EF1861"/>
    <w:rsid w:val="00EF1B5A"/>
    <w:rsid w:val="00EF2CCA"/>
    <w:rsid w:val="00EF61AC"/>
    <w:rsid w:val="00EF791D"/>
    <w:rsid w:val="00F01325"/>
    <w:rsid w:val="00F0172C"/>
    <w:rsid w:val="00F017B1"/>
    <w:rsid w:val="00F01BA1"/>
    <w:rsid w:val="00F01E54"/>
    <w:rsid w:val="00F03E1B"/>
    <w:rsid w:val="00F041F6"/>
    <w:rsid w:val="00F04D64"/>
    <w:rsid w:val="00F057E0"/>
    <w:rsid w:val="00F10ADF"/>
    <w:rsid w:val="00F13F47"/>
    <w:rsid w:val="00F16EBD"/>
    <w:rsid w:val="00F214D5"/>
    <w:rsid w:val="00F229EF"/>
    <w:rsid w:val="00F22C62"/>
    <w:rsid w:val="00F24A31"/>
    <w:rsid w:val="00F24E4E"/>
    <w:rsid w:val="00F25B7F"/>
    <w:rsid w:val="00F26059"/>
    <w:rsid w:val="00F2608D"/>
    <w:rsid w:val="00F313B0"/>
    <w:rsid w:val="00F33E73"/>
    <w:rsid w:val="00F343DA"/>
    <w:rsid w:val="00F359F8"/>
    <w:rsid w:val="00F3652C"/>
    <w:rsid w:val="00F366F4"/>
    <w:rsid w:val="00F36803"/>
    <w:rsid w:val="00F376A8"/>
    <w:rsid w:val="00F43D1A"/>
    <w:rsid w:val="00F43E8A"/>
    <w:rsid w:val="00F45528"/>
    <w:rsid w:val="00F4603C"/>
    <w:rsid w:val="00F46AA1"/>
    <w:rsid w:val="00F47235"/>
    <w:rsid w:val="00F47A9A"/>
    <w:rsid w:val="00F50215"/>
    <w:rsid w:val="00F50554"/>
    <w:rsid w:val="00F51771"/>
    <w:rsid w:val="00F534F1"/>
    <w:rsid w:val="00F53F91"/>
    <w:rsid w:val="00F56255"/>
    <w:rsid w:val="00F57321"/>
    <w:rsid w:val="00F57CD4"/>
    <w:rsid w:val="00F613E9"/>
    <w:rsid w:val="00F6168C"/>
    <w:rsid w:val="00F61A72"/>
    <w:rsid w:val="00F62D1F"/>
    <w:rsid w:val="00F6371E"/>
    <w:rsid w:val="00F63E0E"/>
    <w:rsid w:val="00F65951"/>
    <w:rsid w:val="00F65DE4"/>
    <w:rsid w:val="00F66291"/>
    <w:rsid w:val="00F66F13"/>
    <w:rsid w:val="00F74073"/>
    <w:rsid w:val="00F74AC4"/>
    <w:rsid w:val="00F74D7D"/>
    <w:rsid w:val="00F7614E"/>
    <w:rsid w:val="00F77453"/>
    <w:rsid w:val="00F80F82"/>
    <w:rsid w:val="00F819CB"/>
    <w:rsid w:val="00F81A04"/>
    <w:rsid w:val="00F84116"/>
    <w:rsid w:val="00F8524E"/>
    <w:rsid w:val="00F8778E"/>
    <w:rsid w:val="00F87D67"/>
    <w:rsid w:val="00F87D80"/>
    <w:rsid w:val="00F90E04"/>
    <w:rsid w:val="00F9189A"/>
    <w:rsid w:val="00F91A6C"/>
    <w:rsid w:val="00F91F5E"/>
    <w:rsid w:val="00F927A3"/>
    <w:rsid w:val="00F928C5"/>
    <w:rsid w:val="00F94B20"/>
    <w:rsid w:val="00F94C0C"/>
    <w:rsid w:val="00F970A1"/>
    <w:rsid w:val="00FA1759"/>
    <w:rsid w:val="00FA277B"/>
    <w:rsid w:val="00FB06ED"/>
    <w:rsid w:val="00FB6452"/>
    <w:rsid w:val="00FB76DB"/>
    <w:rsid w:val="00FC084D"/>
    <w:rsid w:val="00FC36AB"/>
    <w:rsid w:val="00FC3F21"/>
    <w:rsid w:val="00FC5A5F"/>
    <w:rsid w:val="00FC6AB4"/>
    <w:rsid w:val="00FC6C48"/>
    <w:rsid w:val="00FC6EC6"/>
    <w:rsid w:val="00FC75C8"/>
    <w:rsid w:val="00FC7F5A"/>
    <w:rsid w:val="00FD09E3"/>
    <w:rsid w:val="00FD1727"/>
    <w:rsid w:val="00FD1D6B"/>
    <w:rsid w:val="00FD2798"/>
    <w:rsid w:val="00FD2A72"/>
    <w:rsid w:val="00FD2CA3"/>
    <w:rsid w:val="00FD5819"/>
    <w:rsid w:val="00FE15EB"/>
    <w:rsid w:val="00FE1DBD"/>
    <w:rsid w:val="00FE4F08"/>
    <w:rsid w:val="00FE5C0A"/>
    <w:rsid w:val="00FE64E4"/>
    <w:rsid w:val="00FF0D35"/>
    <w:rsid w:val="00FF0DF2"/>
    <w:rsid w:val="00FF200A"/>
    <w:rsid w:val="00FF3A5A"/>
    <w:rsid w:val="00FF5128"/>
    <w:rsid w:val="00FF6ED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fill="f" fillcolor="white" stroke="f">
      <v:fill color="white" on="f"/>
      <v:stroke on="f"/>
    </o:shapedefaults>
    <o:shapelayout v:ext="edit">
      <o:idmap v:ext="edit" data="1"/>
    </o:shapelayout>
  </w:shapeDefaults>
  <w:decimalSymbol w:val=","/>
  <w:listSeparator w:val=";"/>
  <w14:docId w14:val="2D51ECCA"/>
  <w15:docId w15:val="{23211879-4BB2-47F3-A5F4-FA193DDD1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0554"/>
    <w:pPr>
      <w:spacing w:line="240" w:lineRule="atLeast"/>
    </w:pPr>
    <w:rPr>
      <w:rFonts w:ascii="Verdana" w:hAnsi="Verdana"/>
      <w:sz w:val="18"/>
      <w:szCs w:val="24"/>
    </w:rPr>
  </w:style>
  <w:style w:type="paragraph" w:styleId="Heading1">
    <w:name w:val="heading 1"/>
    <w:basedOn w:val="Normal"/>
    <w:next w:val="Normal"/>
    <w:qFormat/>
    <w:rsid w:val="009627A5"/>
    <w:pPr>
      <w:pageBreakBefore/>
      <w:widowControl w:val="0"/>
      <w:spacing w:after="700" w:line="300" w:lineRule="atLeast"/>
      <w:contextualSpacing/>
      <w:outlineLvl w:val="0"/>
    </w:pPr>
    <w:rPr>
      <w:rFonts w:cs="Arial"/>
      <w:bCs/>
      <w:kern w:val="32"/>
      <w:sz w:val="24"/>
      <w:szCs w:val="18"/>
    </w:rPr>
  </w:style>
  <w:style w:type="paragraph" w:styleId="Heading2">
    <w:name w:val="heading 2"/>
    <w:basedOn w:val="Heading1"/>
    <w:next w:val="Normal"/>
    <w:link w:val="Heading2Char"/>
    <w:qFormat/>
    <w:rsid w:val="009627A5"/>
    <w:pPr>
      <w:keepNext/>
      <w:pageBreakBefore w:val="0"/>
      <w:spacing w:before="200" w:after="0"/>
      <w:outlineLvl w:val="1"/>
    </w:pPr>
    <w:rPr>
      <w:b/>
      <w:bCs w:val="0"/>
      <w:iCs/>
      <w:sz w:val="18"/>
      <w:szCs w:val="28"/>
    </w:rPr>
  </w:style>
  <w:style w:type="paragraph" w:styleId="Heading3">
    <w:name w:val="heading 3"/>
    <w:basedOn w:val="Heading1"/>
    <w:next w:val="Normal"/>
    <w:qFormat/>
    <w:rsid w:val="009627A5"/>
    <w:pPr>
      <w:keepNext/>
      <w:pageBreakBefore w:val="0"/>
      <w:spacing w:before="240" w:after="0" w:line="240" w:lineRule="atLeast"/>
      <w:contextualSpacing w:val="0"/>
      <w:outlineLvl w:val="2"/>
    </w:pPr>
    <w:rPr>
      <w:bCs w:val="0"/>
      <w:i/>
      <w:sz w:val="18"/>
      <w:szCs w:val="26"/>
    </w:rPr>
  </w:style>
  <w:style w:type="paragraph" w:styleId="Heading4">
    <w:name w:val="heading 4"/>
    <w:basedOn w:val="Heading1"/>
    <w:next w:val="Normal"/>
    <w:qFormat/>
    <w:rsid w:val="009627A5"/>
    <w:pPr>
      <w:keepNext/>
      <w:pageBreakBefore w:val="0"/>
      <w:spacing w:before="240" w:after="0" w:line="240" w:lineRule="atLeast"/>
      <w:contextualSpacing w:val="0"/>
      <w:outlineLvl w:val="3"/>
    </w:pPr>
    <w:rPr>
      <w:bCs w:val="0"/>
      <w:sz w:val="18"/>
      <w:szCs w:val="28"/>
    </w:rPr>
  </w:style>
  <w:style w:type="paragraph" w:styleId="Heading5">
    <w:name w:val="heading 5"/>
    <w:basedOn w:val="Normal"/>
    <w:next w:val="Normal"/>
    <w:qFormat/>
    <w:rsid w:val="009627A5"/>
    <w:pPr>
      <w:spacing w:before="240" w:after="60"/>
      <w:outlineLvl w:val="4"/>
    </w:pPr>
    <w:rPr>
      <w:b/>
      <w:bCs/>
      <w:i/>
      <w:iCs/>
      <w:sz w:val="26"/>
      <w:szCs w:val="26"/>
    </w:rPr>
  </w:style>
  <w:style w:type="paragraph" w:styleId="Heading6">
    <w:name w:val="heading 6"/>
    <w:basedOn w:val="Normal"/>
    <w:next w:val="Normal"/>
    <w:qFormat/>
    <w:rsid w:val="00F26059"/>
    <w:pPr>
      <w:numPr>
        <w:ilvl w:val="5"/>
        <w:numId w:val="1"/>
      </w:numPr>
      <w:spacing w:before="240" w:after="60"/>
      <w:outlineLvl w:val="5"/>
    </w:pPr>
    <w:rPr>
      <w:b/>
      <w:bCs/>
      <w:szCs w:val="22"/>
    </w:rPr>
  </w:style>
  <w:style w:type="paragraph" w:styleId="Heading7">
    <w:name w:val="heading 7"/>
    <w:basedOn w:val="Normal"/>
    <w:next w:val="Normal"/>
    <w:qFormat/>
    <w:rsid w:val="00F26059"/>
    <w:pPr>
      <w:numPr>
        <w:ilvl w:val="6"/>
        <w:numId w:val="1"/>
      </w:numPr>
      <w:spacing w:before="240" w:after="60"/>
      <w:outlineLvl w:val="6"/>
    </w:pPr>
    <w:rPr>
      <w:sz w:val="24"/>
    </w:rPr>
  </w:style>
  <w:style w:type="paragraph" w:styleId="Heading8">
    <w:name w:val="heading 8"/>
    <w:basedOn w:val="Normal"/>
    <w:next w:val="Normal"/>
    <w:qFormat/>
    <w:rsid w:val="00F26059"/>
    <w:pPr>
      <w:numPr>
        <w:ilvl w:val="7"/>
        <w:numId w:val="1"/>
      </w:numPr>
      <w:spacing w:before="240" w:after="60"/>
      <w:outlineLvl w:val="7"/>
    </w:pPr>
    <w:rPr>
      <w:i/>
      <w:iCs/>
      <w:sz w:val="24"/>
    </w:rPr>
  </w:style>
  <w:style w:type="paragraph" w:styleId="Heading9">
    <w:name w:val="heading 9"/>
    <w:basedOn w:val="Normal"/>
    <w:next w:val="Normal"/>
    <w:qFormat/>
    <w:rsid w:val="00FF0DF2"/>
    <w:pPr>
      <w:numPr>
        <w:ilvl w:val="8"/>
        <w:numId w:val="1"/>
      </w:numPr>
      <w:spacing w:before="240" w:after="60"/>
      <w:outlineLvl w:val="8"/>
    </w:pPr>
    <w:rPr>
      <w:rFonts w:cs="Arial"/>
      <w:b/>
      <w: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Kop-Inhoudsopgave">
    <w:name w:val="Kop-Inhoudsopgave"/>
    <w:basedOn w:val="Kopzondernummering"/>
    <w:next w:val="Normal"/>
    <w:rsid w:val="009627A5"/>
  </w:style>
  <w:style w:type="paragraph" w:customStyle="1" w:styleId="Kopzondernummering">
    <w:name w:val="Kop zonder nummering"/>
    <w:basedOn w:val="Normal"/>
    <w:next w:val="Normal"/>
    <w:rsid w:val="009627A5"/>
    <w:pPr>
      <w:spacing w:after="700" w:line="300" w:lineRule="atLeast"/>
      <w:contextualSpacing/>
    </w:pPr>
    <w:rPr>
      <w:sz w:val="24"/>
    </w:rPr>
  </w:style>
  <w:style w:type="character" w:styleId="Hyperlink">
    <w:name w:val="Hyperlink"/>
    <w:rsid w:val="009627A5"/>
    <w:rPr>
      <w:rFonts w:ascii="Verdana" w:hAnsi="Verdana"/>
      <w:color w:val="000000"/>
      <w:u w:val="single"/>
    </w:rPr>
  </w:style>
  <w:style w:type="character" w:customStyle="1" w:styleId="ListNumber2Char">
    <w:name w:val="List Number 2 Char"/>
    <w:link w:val="ListNumber2"/>
    <w:rsid w:val="003C18C0"/>
    <w:rPr>
      <w:rFonts w:ascii="Verdana" w:hAnsi="Verdana"/>
      <w:sz w:val="18"/>
      <w:szCs w:val="24"/>
    </w:rPr>
  </w:style>
  <w:style w:type="paragraph" w:styleId="ListNumber2">
    <w:name w:val="List Number 2"/>
    <w:basedOn w:val="Normal"/>
    <w:link w:val="ListNumber2Char"/>
    <w:rsid w:val="009627A5"/>
    <w:pPr>
      <w:numPr>
        <w:numId w:val="4"/>
      </w:numPr>
    </w:pPr>
  </w:style>
  <w:style w:type="paragraph" w:styleId="TOC1">
    <w:name w:val="toc 1"/>
    <w:basedOn w:val="Normal"/>
    <w:next w:val="Normal"/>
    <w:uiPriority w:val="39"/>
    <w:rsid w:val="007724AB"/>
  </w:style>
  <w:style w:type="paragraph" w:customStyle="1" w:styleId="Huisstijl-Paginanummering">
    <w:name w:val="Huisstijl-Paginanummering"/>
    <w:basedOn w:val="Normal"/>
    <w:rsid w:val="009627A5"/>
    <w:pPr>
      <w:spacing w:line="180" w:lineRule="exact"/>
    </w:pPr>
    <w:rPr>
      <w:noProof/>
      <w:sz w:val="13"/>
    </w:rPr>
  </w:style>
  <w:style w:type="character" w:customStyle="1" w:styleId="ListNumberChar">
    <w:name w:val="List Number Char"/>
    <w:link w:val="ListNumber"/>
    <w:rsid w:val="003C18C0"/>
    <w:rPr>
      <w:rFonts w:ascii="Verdana" w:hAnsi="Verdana"/>
      <w:sz w:val="18"/>
      <w:szCs w:val="24"/>
    </w:rPr>
  </w:style>
  <w:style w:type="paragraph" w:styleId="ListNumber">
    <w:name w:val="List Number"/>
    <w:basedOn w:val="Normal"/>
    <w:link w:val="ListNumberChar"/>
    <w:rsid w:val="009627A5"/>
    <w:pPr>
      <w:numPr>
        <w:numId w:val="3"/>
      </w:numPr>
    </w:pPr>
  </w:style>
  <w:style w:type="character" w:customStyle="1" w:styleId="Huisstijl-Koptekst">
    <w:name w:val="Huisstijl-Koptekst"/>
    <w:rsid w:val="009627A5"/>
    <w:rPr>
      <w:rFonts w:ascii="Verdana" w:hAnsi="Verdana"/>
      <w:dstrike w:val="0"/>
      <w:sz w:val="13"/>
      <w:vertAlign w:val="baseline"/>
    </w:rPr>
  </w:style>
  <w:style w:type="paragraph" w:styleId="Header">
    <w:name w:val="header"/>
    <w:basedOn w:val="Normal"/>
    <w:rsid w:val="009627A5"/>
    <w:pPr>
      <w:tabs>
        <w:tab w:val="center" w:pos="4536"/>
        <w:tab w:val="right" w:pos="9072"/>
      </w:tabs>
    </w:pPr>
  </w:style>
  <w:style w:type="paragraph" w:styleId="Footer">
    <w:name w:val="footer"/>
    <w:basedOn w:val="Normal"/>
    <w:link w:val="FooterChar"/>
    <w:uiPriority w:val="99"/>
    <w:rsid w:val="009627A5"/>
    <w:pPr>
      <w:tabs>
        <w:tab w:val="center" w:pos="4536"/>
        <w:tab w:val="right" w:pos="9072"/>
      </w:tabs>
    </w:pPr>
  </w:style>
  <w:style w:type="paragraph" w:styleId="ListBullet2">
    <w:name w:val="List Bullet 2"/>
    <w:basedOn w:val="Normal"/>
    <w:rsid w:val="008F2143"/>
    <w:pPr>
      <w:tabs>
        <w:tab w:val="num" w:pos="-31680"/>
      </w:tabs>
      <w:ind w:left="454" w:hanging="227"/>
    </w:pPr>
    <w:rPr>
      <w:noProof/>
    </w:rPr>
  </w:style>
  <w:style w:type="paragraph" w:styleId="ListBullet">
    <w:name w:val="List Bullet"/>
    <w:basedOn w:val="Normal"/>
    <w:rsid w:val="009627A5"/>
    <w:pPr>
      <w:numPr>
        <w:numId w:val="2"/>
      </w:numPr>
    </w:pPr>
  </w:style>
  <w:style w:type="paragraph" w:styleId="Subtitle">
    <w:name w:val="Subtitle"/>
    <w:basedOn w:val="Normal"/>
    <w:next w:val="Normal"/>
    <w:link w:val="SubtitleChar"/>
    <w:qFormat/>
    <w:rsid w:val="009627A5"/>
    <w:pPr>
      <w:spacing w:line="320" w:lineRule="atLeast"/>
      <w:outlineLvl w:val="1"/>
    </w:pPr>
    <w:rPr>
      <w:sz w:val="24"/>
    </w:rPr>
  </w:style>
  <w:style w:type="paragraph" w:styleId="Title">
    <w:name w:val="Title"/>
    <w:basedOn w:val="Normal"/>
    <w:qFormat/>
    <w:rsid w:val="009627A5"/>
    <w:pPr>
      <w:spacing w:line="320" w:lineRule="atLeast"/>
      <w:outlineLvl w:val="0"/>
    </w:pPr>
    <w:rPr>
      <w:rFonts w:cs="Arial"/>
      <w:b/>
      <w:bCs/>
      <w:kern w:val="28"/>
      <w:sz w:val="24"/>
      <w:szCs w:val="32"/>
    </w:rPr>
  </w:style>
  <w:style w:type="character" w:customStyle="1" w:styleId="Huisstijl-Rubricering">
    <w:name w:val="Huisstijl-Rubricering"/>
    <w:rsid w:val="009627A5"/>
    <w:rPr>
      <w:rFonts w:ascii="Verdana" w:hAnsi="Verdana"/>
      <w:b/>
      <w:smallCaps/>
      <w:dstrike w:val="0"/>
      <w:sz w:val="13"/>
      <w:vertAlign w:val="baseline"/>
    </w:rPr>
  </w:style>
  <w:style w:type="paragraph" w:styleId="TOC2">
    <w:name w:val="toc 2"/>
    <w:basedOn w:val="TOC1"/>
    <w:next w:val="Normal"/>
    <w:autoRedefine/>
    <w:uiPriority w:val="39"/>
    <w:rsid w:val="000842B5"/>
    <w:pPr>
      <w:tabs>
        <w:tab w:val="right" w:leader="dot" w:pos="7716"/>
      </w:tabs>
      <w:spacing w:before="240"/>
      <w:ind w:hanging="1162"/>
    </w:pPr>
    <w:rPr>
      <w:b/>
      <w:noProof/>
    </w:rPr>
  </w:style>
  <w:style w:type="paragraph" w:styleId="NormalWeb">
    <w:name w:val="Normal (Web)"/>
    <w:basedOn w:val="Normal"/>
    <w:rsid w:val="009627A5"/>
  </w:style>
  <w:style w:type="paragraph" w:styleId="TOC3">
    <w:name w:val="toc 3"/>
    <w:basedOn w:val="TOC2"/>
    <w:next w:val="Normal"/>
    <w:uiPriority w:val="39"/>
    <w:rsid w:val="007724AB"/>
    <w:pPr>
      <w:spacing w:before="0"/>
    </w:pPr>
    <w:rPr>
      <w:b w:val="0"/>
    </w:rPr>
  </w:style>
  <w:style w:type="paragraph" w:customStyle="1" w:styleId="Huisstijl-TabelTitel">
    <w:name w:val="Huisstijl-TabelTitel"/>
    <w:basedOn w:val="Normal"/>
    <w:next w:val="Normal"/>
    <w:rsid w:val="009627A5"/>
    <w:rPr>
      <w:b/>
      <w:sz w:val="14"/>
    </w:rPr>
  </w:style>
  <w:style w:type="paragraph" w:customStyle="1" w:styleId="Huisstijl-Bijschrift">
    <w:name w:val="Huisstijl-Bijschrift"/>
    <w:basedOn w:val="Normal"/>
    <w:next w:val="Normal"/>
    <w:rsid w:val="009627A5"/>
    <w:rPr>
      <w:i/>
    </w:rPr>
  </w:style>
  <w:style w:type="table" w:styleId="TableGrid">
    <w:name w:val="Table Grid"/>
    <w:basedOn w:val="TableNormal"/>
    <w:rsid w:val="009627A5"/>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Huisstijl-Tabel">
    <w:name w:val="Huisstijl-Tabel"/>
    <w:basedOn w:val="TableNormal"/>
    <w:rsid w:val="009627A5"/>
    <w:rPr>
      <w:rFonts w:ascii="Verdana" w:hAnsi="Verdana"/>
      <w:sz w:val="14"/>
    </w:rPr>
    <w:tblP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120" w:type="dxa"/>
        <w:left w:w="60" w:type="dxa"/>
        <w:bottom w:w="120" w:type="dxa"/>
        <w:right w:w="60" w:type="dxa"/>
      </w:tblCellMar>
    </w:tblPr>
    <w:tblStylePr w:type="firstRow">
      <w:tblPr/>
      <w:tcPr>
        <w:tcMar>
          <w:top w:w="0" w:type="nil"/>
          <w:left w:w="60" w:type="dxa"/>
          <w:bottom w:w="120" w:type="dxa"/>
          <w:right w:w="60" w:type="dxa"/>
        </w:tcMar>
      </w:tcPr>
    </w:tblStylePr>
  </w:style>
  <w:style w:type="paragraph" w:customStyle="1" w:styleId="Huisstijl-TabelTekst">
    <w:name w:val="Huisstijl-TabelTekst"/>
    <w:basedOn w:val="Huisstijl-TabelTitel"/>
    <w:rsid w:val="009627A5"/>
    <w:rPr>
      <w:b w:val="0"/>
    </w:rPr>
  </w:style>
  <w:style w:type="paragraph" w:styleId="TOC4">
    <w:name w:val="toc 4"/>
    <w:basedOn w:val="TOC3"/>
    <w:next w:val="Normal"/>
    <w:semiHidden/>
    <w:rsid w:val="007724AB"/>
  </w:style>
  <w:style w:type="paragraph" w:styleId="TOC5">
    <w:name w:val="toc 5"/>
    <w:basedOn w:val="Normal"/>
    <w:next w:val="Normal"/>
    <w:autoRedefine/>
    <w:semiHidden/>
    <w:rsid w:val="007724AB"/>
    <w:pPr>
      <w:ind w:left="720"/>
    </w:pPr>
  </w:style>
  <w:style w:type="paragraph" w:styleId="FootnoteText">
    <w:name w:val="footnote text"/>
    <w:basedOn w:val="Normal"/>
    <w:link w:val="FootnoteTextChar"/>
    <w:semiHidden/>
    <w:rsid w:val="00646E47"/>
    <w:pPr>
      <w:tabs>
        <w:tab w:val="left" w:pos="600"/>
      </w:tabs>
      <w:spacing w:line="180" w:lineRule="atLeast"/>
      <w:ind w:left="240" w:hanging="240"/>
    </w:pPr>
    <w:rPr>
      <w:sz w:val="13"/>
      <w:szCs w:val="20"/>
    </w:rPr>
  </w:style>
  <w:style w:type="character" w:styleId="FootnoteReference">
    <w:name w:val="footnote reference"/>
    <w:semiHidden/>
    <w:rsid w:val="00646E47"/>
    <w:rPr>
      <w:vertAlign w:val="superscript"/>
    </w:rPr>
  </w:style>
  <w:style w:type="paragraph" w:styleId="EndnoteText">
    <w:name w:val="endnote text"/>
    <w:basedOn w:val="Normal"/>
    <w:semiHidden/>
    <w:rsid w:val="00646E47"/>
    <w:rPr>
      <w:sz w:val="20"/>
      <w:szCs w:val="20"/>
    </w:rPr>
  </w:style>
  <w:style w:type="character" w:styleId="EndnoteReference">
    <w:name w:val="endnote reference"/>
    <w:semiHidden/>
    <w:rsid w:val="00646E47"/>
    <w:rPr>
      <w:vertAlign w:val="superscript"/>
    </w:rPr>
  </w:style>
  <w:style w:type="paragraph" w:customStyle="1" w:styleId="Bestandsnaam">
    <w:name w:val="Bestandsnaam"/>
    <w:basedOn w:val="Header"/>
    <w:rsid w:val="009627A5"/>
    <w:pPr>
      <w:tabs>
        <w:tab w:val="clear" w:pos="4536"/>
        <w:tab w:val="clear" w:pos="9072"/>
        <w:tab w:val="center" w:pos="4153"/>
        <w:tab w:val="right" w:pos="8306"/>
      </w:tabs>
      <w:spacing w:line="280" w:lineRule="exact"/>
    </w:pPr>
    <w:rPr>
      <w:rFonts w:ascii="Times New Roman" w:hAnsi="Times New Roman"/>
      <w:sz w:val="16"/>
      <w:szCs w:val="20"/>
      <w:lang w:eastAsia="en-US"/>
    </w:rPr>
  </w:style>
  <w:style w:type="paragraph" w:customStyle="1" w:styleId="Huisstijl-Adres">
    <w:name w:val="Huisstijl-Adres"/>
    <w:basedOn w:val="Normal"/>
    <w:rsid w:val="009627A5"/>
    <w:pPr>
      <w:tabs>
        <w:tab w:val="left" w:pos="192"/>
      </w:tabs>
      <w:adjustRightInd w:val="0"/>
      <w:spacing w:after="90" w:line="180" w:lineRule="exact"/>
    </w:pPr>
    <w:rPr>
      <w:rFonts w:cs="Verdana"/>
      <w:noProof/>
      <w:sz w:val="13"/>
      <w:szCs w:val="13"/>
    </w:rPr>
  </w:style>
  <w:style w:type="paragraph" w:customStyle="1" w:styleId="Huisstijl-Gegeven">
    <w:name w:val="Huisstijl-Gegeven"/>
    <w:basedOn w:val="Normal"/>
    <w:link w:val="Huisstijl-GegevenCharChar"/>
    <w:rsid w:val="009627A5"/>
    <w:pPr>
      <w:spacing w:after="92" w:line="180" w:lineRule="exact"/>
    </w:pPr>
    <w:rPr>
      <w:noProof/>
      <w:sz w:val="13"/>
    </w:rPr>
  </w:style>
  <w:style w:type="character" w:customStyle="1" w:styleId="Huisstijl-GegevenCharChar">
    <w:name w:val="Huisstijl-Gegeven Char Char"/>
    <w:link w:val="Huisstijl-Gegeven"/>
    <w:rsid w:val="009627A5"/>
    <w:rPr>
      <w:rFonts w:ascii="Verdana" w:hAnsi="Verdana"/>
      <w:noProof/>
      <w:sz w:val="13"/>
      <w:szCs w:val="24"/>
      <w:lang w:val="nl-NL" w:eastAsia="nl-NL" w:bidi="ar-SA"/>
    </w:rPr>
  </w:style>
  <w:style w:type="paragraph" w:customStyle="1" w:styleId="Huisstijl-KixCode">
    <w:name w:val="Huisstijl-KixCode"/>
    <w:basedOn w:val="Normal"/>
    <w:rsid w:val="009627A5"/>
    <w:pPr>
      <w:spacing w:before="60" w:line="240" w:lineRule="auto"/>
    </w:pPr>
    <w:rPr>
      <w:rFonts w:ascii="KIX Barcode" w:hAnsi="KIX Barcode"/>
      <w:b/>
      <w:bCs/>
      <w:smallCaps/>
      <w:noProof/>
      <w:sz w:val="24"/>
    </w:rPr>
  </w:style>
  <w:style w:type="paragraph" w:customStyle="1" w:styleId="Huisstijl-Kopje">
    <w:name w:val="Huisstijl-Kopje"/>
    <w:basedOn w:val="Huisstijl-Gegeven"/>
    <w:rsid w:val="009627A5"/>
    <w:pPr>
      <w:spacing w:after="0"/>
    </w:pPr>
    <w:rPr>
      <w:b/>
    </w:rPr>
  </w:style>
  <w:style w:type="paragraph" w:customStyle="1" w:styleId="Huisstijl-NAW">
    <w:name w:val="Huisstijl-NAW"/>
    <w:basedOn w:val="Normal"/>
    <w:rsid w:val="009627A5"/>
    <w:pPr>
      <w:adjustRightInd w:val="0"/>
    </w:pPr>
    <w:rPr>
      <w:rFonts w:cs="Verdana"/>
      <w:noProof/>
      <w:szCs w:val="18"/>
    </w:rPr>
  </w:style>
  <w:style w:type="paragraph" w:customStyle="1" w:styleId="Huisstijl-Retouradres">
    <w:name w:val="Huisstijl-Retouradres"/>
    <w:basedOn w:val="Normal"/>
    <w:rsid w:val="009627A5"/>
    <w:pPr>
      <w:spacing w:line="180" w:lineRule="exact"/>
    </w:pPr>
    <w:rPr>
      <w:noProof/>
      <w:sz w:val="13"/>
    </w:rPr>
  </w:style>
  <w:style w:type="paragraph" w:customStyle="1" w:styleId="Huisstijl-Voorwaarden">
    <w:name w:val="Huisstijl-Voorwaarden"/>
    <w:basedOn w:val="Normal"/>
    <w:rsid w:val="009627A5"/>
    <w:pPr>
      <w:spacing w:line="180" w:lineRule="exact"/>
    </w:pPr>
    <w:rPr>
      <w:i/>
      <w:noProof/>
      <w:sz w:val="13"/>
    </w:rPr>
  </w:style>
  <w:style w:type="paragraph" w:customStyle="1" w:styleId="Minuut">
    <w:name w:val="Minuut"/>
    <w:basedOn w:val="Normal"/>
    <w:rsid w:val="009627A5"/>
    <w:pPr>
      <w:spacing w:line="280" w:lineRule="exact"/>
    </w:pPr>
    <w:rPr>
      <w:rFonts w:ascii="Times New Roman" w:hAnsi="Times New Roman"/>
      <w:b/>
      <w:sz w:val="20"/>
      <w:szCs w:val="20"/>
      <w:lang w:eastAsia="en-US"/>
    </w:rPr>
  </w:style>
  <w:style w:type="numbering" w:customStyle="1" w:styleId="StyleBulleted">
    <w:name w:val="Style Bulleted"/>
    <w:basedOn w:val="NoList"/>
    <w:rsid w:val="009627A5"/>
    <w:pPr>
      <w:numPr>
        <w:numId w:val="5"/>
      </w:numPr>
    </w:pPr>
  </w:style>
  <w:style w:type="numbering" w:customStyle="1" w:styleId="StyleNumbered">
    <w:name w:val="Style Numbered"/>
    <w:basedOn w:val="NoList"/>
    <w:rsid w:val="009627A5"/>
    <w:pPr>
      <w:numPr>
        <w:numId w:val="6"/>
      </w:numPr>
    </w:pPr>
  </w:style>
  <w:style w:type="paragraph" w:styleId="DocumentMap">
    <w:name w:val="Document Map"/>
    <w:basedOn w:val="Normal"/>
    <w:semiHidden/>
    <w:rsid w:val="003E713E"/>
    <w:pPr>
      <w:shd w:val="clear" w:color="auto" w:fill="000080"/>
    </w:pPr>
    <w:rPr>
      <w:rFonts w:ascii="Tahoma" w:hAnsi="Tahoma" w:cs="Tahoma"/>
      <w:sz w:val="20"/>
      <w:szCs w:val="20"/>
    </w:rPr>
  </w:style>
  <w:style w:type="paragraph" w:customStyle="1" w:styleId="Table">
    <w:name w:val="Table"/>
    <w:basedOn w:val="Normal"/>
    <w:rsid w:val="00470830"/>
    <w:pPr>
      <w:spacing w:line="280" w:lineRule="atLeast"/>
    </w:pPr>
    <w:rPr>
      <w:rFonts w:ascii="Times New Roman" w:hAnsi="Times New Roman"/>
      <w:sz w:val="22"/>
      <w:szCs w:val="20"/>
      <w:lang w:val="fr-FR" w:eastAsia="en-US" w:bidi="he-IL"/>
    </w:rPr>
  </w:style>
  <w:style w:type="paragraph" w:styleId="Caption">
    <w:name w:val="caption"/>
    <w:basedOn w:val="Normal"/>
    <w:next w:val="Normal"/>
    <w:qFormat/>
    <w:rsid w:val="00646E47"/>
    <w:rPr>
      <w:b/>
      <w:bCs/>
      <w:szCs w:val="20"/>
    </w:rPr>
  </w:style>
  <w:style w:type="paragraph" w:customStyle="1" w:styleId="Huisstijl-Adres2">
    <w:name w:val="Huisstijl-Adres2"/>
    <w:basedOn w:val="Huisstijl-Adres"/>
    <w:rsid w:val="00646E47"/>
    <w:pPr>
      <w:spacing w:after="0"/>
    </w:pPr>
  </w:style>
  <w:style w:type="paragraph" w:styleId="BodyText">
    <w:name w:val="Body Text"/>
    <w:basedOn w:val="Normal"/>
    <w:link w:val="BodyTextChar"/>
    <w:rsid w:val="00B56D45"/>
    <w:pPr>
      <w:spacing w:after="120"/>
    </w:pPr>
  </w:style>
  <w:style w:type="character" w:customStyle="1" w:styleId="SubtitleChar">
    <w:name w:val="Subtitle Char"/>
    <w:link w:val="Subtitle"/>
    <w:rsid w:val="008517DE"/>
    <w:rPr>
      <w:rFonts w:ascii="Verdana" w:hAnsi="Verdana"/>
      <w:sz w:val="24"/>
      <w:szCs w:val="24"/>
      <w:lang w:val="nl-NL" w:eastAsia="nl-NL" w:bidi="ar-SA"/>
    </w:rPr>
  </w:style>
  <w:style w:type="character" w:styleId="PageNumber">
    <w:name w:val="page number"/>
    <w:basedOn w:val="DefaultParagraphFont"/>
    <w:rsid w:val="009E1B8B"/>
  </w:style>
  <w:style w:type="character" w:styleId="CommentReference">
    <w:name w:val="annotation reference"/>
    <w:semiHidden/>
    <w:rsid w:val="008777AA"/>
    <w:rPr>
      <w:sz w:val="16"/>
      <w:szCs w:val="16"/>
    </w:rPr>
  </w:style>
  <w:style w:type="paragraph" w:styleId="CommentText">
    <w:name w:val="annotation text"/>
    <w:basedOn w:val="Normal"/>
    <w:link w:val="CommentTextChar"/>
    <w:semiHidden/>
    <w:rsid w:val="008777AA"/>
    <w:rPr>
      <w:sz w:val="20"/>
      <w:szCs w:val="20"/>
    </w:rPr>
  </w:style>
  <w:style w:type="paragraph" w:styleId="BalloonText">
    <w:name w:val="Balloon Text"/>
    <w:basedOn w:val="Normal"/>
    <w:semiHidden/>
    <w:rsid w:val="008777AA"/>
    <w:rPr>
      <w:rFonts w:ascii="Tahoma" w:hAnsi="Tahoma" w:cs="Tahoma"/>
      <w:sz w:val="16"/>
      <w:szCs w:val="16"/>
    </w:rPr>
  </w:style>
  <w:style w:type="character" w:customStyle="1" w:styleId="FootnoteTextChar">
    <w:name w:val="Footnote Text Char"/>
    <w:link w:val="FootnoteText"/>
    <w:semiHidden/>
    <w:rsid w:val="005150FC"/>
    <w:rPr>
      <w:rFonts w:ascii="Verdana" w:hAnsi="Verdana"/>
      <w:sz w:val="13"/>
    </w:rPr>
  </w:style>
  <w:style w:type="paragraph" w:styleId="PlainText">
    <w:name w:val="Plain Text"/>
    <w:basedOn w:val="Normal"/>
    <w:link w:val="PlainTextChar"/>
    <w:uiPriority w:val="99"/>
    <w:unhideWhenUsed/>
    <w:rsid w:val="00033E8D"/>
    <w:pPr>
      <w:spacing w:line="240" w:lineRule="auto"/>
    </w:pPr>
    <w:rPr>
      <w:rFonts w:ascii="Calibri" w:eastAsia="Calibri" w:hAnsi="Calibri"/>
      <w:sz w:val="22"/>
      <w:szCs w:val="21"/>
      <w:lang w:eastAsia="en-US"/>
    </w:rPr>
  </w:style>
  <w:style w:type="character" w:customStyle="1" w:styleId="PlainTextChar">
    <w:name w:val="Plain Text Char"/>
    <w:link w:val="PlainText"/>
    <w:uiPriority w:val="99"/>
    <w:rsid w:val="00033E8D"/>
    <w:rPr>
      <w:rFonts w:ascii="Calibri" w:eastAsia="Calibri" w:hAnsi="Calibri"/>
      <w:sz w:val="22"/>
      <w:szCs w:val="21"/>
      <w:lang w:eastAsia="en-US"/>
    </w:rPr>
  </w:style>
  <w:style w:type="character" w:customStyle="1" w:styleId="Heading2Char">
    <w:name w:val="Heading 2 Char"/>
    <w:link w:val="Heading2"/>
    <w:rsid w:val="005749A5"/>
    <w:rPr>
      <w:rFonts w:ascii="Verdana" w:hAnsi="Verdana" w:cs="Arial"/>
      <w:b/>
      <w:iCs/>
      <w:kern w:val="32"/>
      <w:sz w:val="18"/>
      <w:szCs w:val="28"/>
    </w:rPr>
  </w:style>
  <w:style w:type="paragraph" w:styleId="CommentSubject">
    <w:name w:val="annotation subject"/>
    <w:basedOn w:val="CommentText"/>
    <w:next w:val="CommentText"/>
    <w:link w:val="CommentSubjectChar"/>
    <w:rsid w:val="00EE0CAE"/>
    <w:rPr>
      <w:b/>
      <w:bCs/>
    </w:rPr>
  </w:style>
  <w:style w:type="character" w:customStyle="1" w:styleId="CommentTextChar">
    <w:name w:val="Comment Text Char"/>
    <w:link w:val="CommentText"/>
    <w:semiHidden/>
    <w:rsid w:val="00EE0CAE"/>
    <w:rPr>
      <w:rFonts w:ascii="Verdana" w:hAnsi="Verdana"/>
    </w:rPr>
  </w:style>
  <w:style w:type="character" w:customStyle="1" w:styleId="CommentSubjectChar">
    <w:name w:val="Comment Subject Char"/>
    <w:link w:val="CommentSubject"/>
    <w:rsid w:val="00EE0CAE"/>
    <w:rPr>
      <w:rFonts w:ascii="Verdana" w:hAnsi="Verdana"/>
      <w:b/>
      <w:bCs/>
    </w:rPr>
  </w:style>
  <w:style w:type="paragraph" w:styleId="Revision">
    <w:name w:val="Revision"/>
    <w:hidden/>
    <w:uiPriority w:val="99"/>
    <w:semiHidden/>
    <w:rsid w:val="008A646F"/>
    <w:rPr>
      <w:rFonts w:ascii="Verdana" w:hAnsi="Verdana"/>
      <w:sz w:val="18"/>
      <w:szCs w:val="24"/>
    </w:rPr>
  </w:style>
  <w:style w:type="character" w:styleId="Emphasis">
    <w:name w:val="Emphasis"/>
    <w:basedOn w:val="DefaultParagraphFont"/>
    <w:uiPriority w:val="20"/>
    <w:qFormat/>
    <w:rsid w:val="00611337"/>
    <w:rPr>
      <w:i/>
      <w:iCs/>
    </w:rPr>
  </w:style>
  <w:style w:type="character" w:styleId="FollowedHyperlink">
    <w:name w:val="FollowedHyperlink"/>
    <w:basedOn w:val="DefaultParagraphFont"/>
    <w:rsid w:val="005A4777"/>
    <w:rPr>
      <w:color w:val="954F72" w:themeColor="followedHyperlink"/>
      <w:u w:val="single"/>
    </w:rPr>
  </w:style>
  <w:style w:type="paragraph" w:styleId="ListParagraph">
    <w:name w:val="List Paragraph"/>
    <w:basedOn w:val="Normal"/>
    <w:uiPriority w:val="34"/>
    <w:qFormat/>
    <w:rsid w:val="00ED7830"/>
    <w:pPr>
      <w:ind w:left="720"/>
      <w:contextualSpacing/>
    </w:pPr>
  </w:style>
  <w:style w:type="paragraph" w:customStyle="1" w:styleId="Default">
    <w:name w:val="Default"/>
    <w:rsid w:val="003C7479"/>
    <w:pPr>
      <w:autoSpaceDE w:val="0"/>
      <w:autoSpaceDN w:val="0"/>
      <w:adjustRightInd w:val="0"/>
    </w:pPr>
    <w:rPr>
      <w:color w:val="000000"/>
      <w:sz w:val="24"/>
      <w:szCs w:val="24"/>
    </w:rPr>
  </w:style>
  <w:style w:type="character" w:customStyle="1" w:styleId="BodyTextChar">
    <w:name w:val="Body Text Char"/>
    <w:basedOn w:val="DefaultParagraphFont"/>
    <w:link w:val="BodyText"/>
    <w:rsid w:val="000D0473"/>
    <w:rPr>
      <w:rFonts w:ascii="Verdana" w:hAnsi="Verdana"/>
      <w:sz w:val="18"/>
      <w:szCs w:val="24"/>
    </w:rPr>
  </w:style>
  <w:style w:type="character" w:customStyle="1" w:styleId="FooterChar">
    <w:name w:val="Footer Char"/>
    <w:basedOn w:val="DefaultParagraphFont"/>
    <w:link w:val="Footer"/>
    <w:uiPriority w:val="99"/>
    <w:rsid w:val="003340B1"/>
    <w:rPr>
      <w:rFonts w:ascii="Verdana" w:hAnsi="Verdana"/>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802776">
      <w:bodyDiv w:val="1"/>
      <w:marLeft w:val="0"/>
      <w:marRight w:val="0"/>
      <w:marTop w:val="0"/>
      <w:marBottom w:val="0"/>
      <w:divBdr>
        <w:top w:val="none" w:sz="0" w:space="0" w:color="auto"/>
        <w:left w:val="none" w:sz="0" w:space="0" w:color="auto"/>
        <w:bottom w:val="none" w:sz="0" w:space="0" w:color="auto"/>
        <w:right w:val="none" w:sz="0" w:space="0" w:color="auto"/>
      </w:divBdr>
    </w:div>
    <w:div w:id="503401768">
      <w:bodyDiv w:val="1"/>
      <w:marLeft w:val="0"/>
      <w:marRight w:val="0"/>
      <w:marTop w:val="0"/>
      <w:marBottom w:val="0"/>
      <w:divBdr>
        <w:top w:val="none" w:sz="0" w:space="0" w:color="auto"/>
        <w:left w:val="none" w:sz="0" w:space="0" w:color="auto"/>
        <w:bottom w:val="none" w:sz="0" w:space="0" w:color="auto"/>
        <w:right w:val="none" w:sz="0" w:space="0" w:color="auto"/>
      </w:divBdr>
      <w:divsChild>
        <w:div w:id="13774952">
          <w:marLeft w:val="0"/>
          <w:marRight w:val="0"/>
          <w:marTop w:val="0"/>
          <w:marBottom w:val="0"/>
          <w:divBdr>
            <w:top w:val="none" w:sz="0" w:space="0" w:color="auto"/>
            <w:left w:val="none" w:sz="0" w:space="0" w:color="auto"/>
            <w:bottom w:val="none" w:sz="0" w:space="0" w:color="auto"/>
            <w:right w:val="none" w:sz="0" w:space="0" w:color="auto"/>
          </w:divBdr>
        </w:div>
        <w:div w:id="246618634">
          <w:marLeft w:val="0"/>
          <w:marRight w:val="0"/>
          <w:marTop w:val="0"/>
          <w:marBottom w:val="0"/>
          <w:divBdr>
            <w:top w:val="none" w:sz="0" w:space="0" w:color="auto"/>
            <w:left w:val="none" w:sz="0" w:space="0" w:color="auto"/>
            <w:bottom w:val="none" w:sz="0" w:space="0" w:color="auto"/>
            <w:right w:val="none" w:sz="0" w:space="0" w:color="auto"/>
          </w:divBdr>
        </w:div>
        <w:div w:id="277873879">
          <w:marLeft w:val="0"/>
          <w:marRight w:val="0"/>
          <w:marTop w:val="0"/>
          <w:marBottom w:val="0"/>
          <w:divBdr>
            <w:top w:val="none" w:sz="0" w:space="0" w:color="auto"/>
            <w:left w:val="none" w:sz="0" w:space="0" w:color="auto"/>
            <w:bottom w:val="none" w:sz="0" w:space="0" w:color="auto"/>
            <w:right w:val="none" w:sz="0" w:space="0" w:color="auto"/>
          </w:divBdr>
        </w:div>
        <w:div w:id="290867956">
          <w:marLeft w:val="0"/>
          <w:marRight w:val="0"/>
          <w:marTop w:val="0"/>
          <w:marBottom w:val="0"/>
          <w:divBdr>
            <w:top w:val="none" w:sz="0" w:space="0" w:color="auto"/>
            <w:left w:val="none" w:sz="0" w:space="0" w:color="auto"/>
            <w:bottom w:val="none" w:sz="0" w:space="0" w:color="auto"/>
            <w:right w:val="none" w:sz="0" w:space="0" w:color="auto"/>
          </w:divBdr>
        </w:div>
        <w:div w:id="293874874">
          <w:marLeft w:val="0"/>
          <w:marRight w:val="0"/>
          <w:marTop w:val="0"/>
          <w:marBottom w:val="0"/>
          <w:divBdr>
            <w:top w:val="none" w:sz="0" w:space="0" w:color="auto"/>
            <w:left w:val="none" w:sz="0" w:space="0" w:color="auto"/>
            <w:bottom w:val="none" w:sz="0" w:space="0" w:color="auto"/>
            <w:right w:val="none" w:sz="0" w:space="0" w:color="auto"/>
          </w:divBdr>
        </w:div>
        <w:div w:id="464011566">
          <w:marLeft w:val="0"/>
          <w:marRight w:val="0"/>
          <w:marTop w:val="0"/>
          <w:marBottom w:val="0"/>
          <w:divBdr>
            <w:top w:val="none" w:sz="0" w:space="0" w:color="auto"/>
            <w:left w:val="none" w:sz="0" w:space="0" w:color="auto"/>
            <w:bottom w:val="none" w:sz="0" w:space="0" w:color="auto"/>
            <w:right w:val="none" w:sz="0" w:space="0" w:color="auto"/>
          </w:divBdr>
        </w:div>
        <w:div w:id="508370529">
          <w:marLeft w:val="0"/>
          <w:marRight w:val="0"/>
          <w:marTop w:val="0"/>
          <w:marBottom w:val="0"/>
          <w:divBdr>
            <w:top w:val="none" w:sz="0" w:space="0" w:color="auto"/>
            <w:left w:val="none" w:sz="0" w:space="0" w:color="auto"/>
            <w:bottom w:val="none" w:sz="0" w:space="0" w:color="auto"/>
            <w:right w:val="none" w:sz="0" w:space="0" w:color="auto"/>
          </w:divBdr>
        </w:div>
        <w:div w:id="595286120">
          <w:marLeft w:val="0"/>
          <w:marRight w:val="0"/>
          <w:marTop w:val="0"/>
          <w:marBottom w:val="0"/>
          <w:divBdr>
            <w:top w:val="none" w:sz="0" w:space="0" w:color="auto"/>
            <w:left w:val="none" w:sz="0" w:space="0" w:color="auto"/>
            <w:bottom w:val="none" w:sz="0" w:space="0" w:color="auto"/>
            <w:right w:val="none" w:sz="0" w:space="0" w:color="auto"/>
          </w:divBdr>
        </w:div>
        <w:div w:id="626618727">
          <w:marLeft w:val="0"/>
          <w:marRight w:val="0"/>
          <w:marTop w:val="0"/>
          <w:marBottom w:val="0"/>
          <w:divBdr>
            <w:top w:val="none" w:sz="0" w:space="0" w:color="auto"/>
            <w:left w:val="none" w:sz="0" w:space="0" w:color="auto"/>
            <w:bottom w:val="none" w:sz="0" w:space="0" w:color="auto"/>
            <w:right w:val="none" w:sz="0" w:space="0" w:color="auto"/>
          </w:divBdr>
        </w:div>
        <w:div w:id="655885939">
          <w:marLeft w:val="0"/>
          <w:marRight w:val="0"/>
          <w:marTop w:val="0"/>
          <w:marBottom w:val="0"/>
          <w:divBdr>
            <w:top w:val="none" w:sz="0" w:space="0" w:color="auto"/>
            <w:left w:val="none" w:sz="0" w:space="0" w:color="auto"/>
            <w:bottom w:val="none" w:sz="0" w:space="0" w:color="auto"/>
            <w:right w:val="none" w:sz="0" w:space="0" w:color="auto"/>
          </w:divBdr>
        </w:div>
        <w:div w:id="761415478">
          <w:marLeft w:val="0"/>
          <w:marRight w:val="0"/>
          <w:marTop w:val="0"/>
          <w:marBottom w:val="0"/>
          <w:divBdr>
            <w:top w:val="none" w:sz="0" w:space="0" w:color="auto"/>
            <w:left w:val="none" w:sz="0" w:space="0" w:color="auto"/>
            <w:bottom w:val="none" w:sz="0" w:space="0" w:color="auto"/>
            <w:right w:val="none" w:sz="0" w:space="0" w:color="auto"/>
          </w:divBdr>
        </w:div>
        <w:div w:id="794257938">
          <w:marLeft w:val="0"/>
          <w:marRight w:val="0"/>
          <w:marTop w:val="0"/>
          <w:marBottom w:val="0"/>
          <w:divBdr>
            <w:top w:val="none" w:sz="0" w:space="0" w:color="auto"/>
            <w:left w:val="none" w:sz="0" w:space="0" w:color="auto"/>
            <w:bottom w:val="none" w:sz="0" w:space="0" w:color="auto"/>
            <w:right w:val="none" w:sz="0" w:space="0" w:color="auto"/>
          </w:divBdr>
        </w:div>
        <w:div w:id="960844700">
          <w:marLeft w:val="0"/>
          <w:marRight w:val="0"/>
          <w:marTop w:val="0"/>
          <w:marBottom w:val="0"/>
          <w:divBdr>
            <w:top w:val="none" w:sz="0" w:space="0" w:color="auto"/>
            <w:left w:val="none" w:sz="0" w:space="0" w:color="auto"/>
            <w:bottom w:val="none" w:sz="0" w:space="0" w:color="auto"/>
            <w:right w:val="none" w:sz="0" w:space="0" w:color="auto"/>
          </w:divBdr>
        </w:div>
        <w:div w:id="1252660253">
          <w:marLeft w:val="0"/>
          <w:marRight w:val="0"/>
          <w:marTop w:val="0"/>
          <w:marBottom w:val="0"/>
          <w:divBdr>
            <w:top w:val="none" w:sz="0" w:space="0" w:color="auto"/>
            <w:left w:val="none" w:sz="0" w:space="0" w:color="auto"/>
            <w:bottom w:val="none" w:sz="0" w:space="0" w:color="auto"/>
            <w:right w:val="none" w:sz="0" w:space="0" w:color="auto"/>
          </w:divBdr>
        </w:div>
        <w:div w:id="1794591911">
          <w:marLeft w:val="0"/>
          <w:marRight w:val="0"/>
          <w:marTop w:val="0"/>
          <w:marBottom w:val="0"/>
          <w:divBdr>
            <w:top w:val="none" w:sz="0" w:space="0" w:color="auto"/>
            <w:left w:val="none" w:sz="0" w:space="0" w:color="auto"/>
            <w:bottom w:val="none" w:sz="0" w:space="0" w:color="auto"/>
            <w:right w:val="none" w:sz="0" w:space="0" w:color="auto"/>
          </w:divBdr>
        </w:div>
        <w:div w:id="1950770371">
          <w:marLeft w:val="0"/>
          <w:marRight w:val="0"/>
          <w:marTop w:val="0"/>
          <w:marBottom w:val="0"/>
          <w:divBdr>
            <w:top w:val="none" w:sz="0" w:space="0" w:color="auto"/>
            <w:left w:val="none" w:sz="0" w:space="0" w:color="auto"/>
            <w:bottom w:val="none" w:sz="0" w:space="0" w:color="auto"/>
            <w:right w:val="none" w:sz="0" w:space="0" w:color="auto"/>
          </w:divBdr>
        </w:div>
      </w:divsChild>
    </w:div>
    <w:div w:id="514418116">
      <w:bodyDiv w:val="1"/>
      <w:marLeft w:val="0"/>
      <w:marRight w:val="0"/>
      <w:marTop w:val="0"/>
      <w:marBottom w:val="0"/>
      <w:divBdr>
        <w:top w:val="none" w:sz="0" w:space="0" w:color="auto"/>
        <w:left w:val="none" w:sz="0" w:space="0" w:color="auto"/>
        <w:bottom w:val="none" w:sz="0" w:space="0" w:color="auto"/>
        <w:right w:val="none" w:sz="0" w:space="0" w:color="auto"/>
      </w:divBdr>
      <w:divsChild>
        <w:div w:id="1338772541">
          <w:marLeft w:val="0"/>
          <w:marRight w:val="0"/>
          <w:marTop w:val="0"/>
          <w:marBottom w:val="0"/>
          <w:divBdr>
            <w:top w:val="none" w:sz="0" w:space="0" w:color="auto"/>
            <w:left w:val="none" w:sz="0" w:space="0" w:color="auto"/>
            <w:bottom w:val="none" w:sz="0" w:space="0" w:color="auto"/>
            <w:right w:val="none" w:sz="0" w:space="0" w:color="auto"/>
          </w:divBdr>
          <w:divsChild>
            <w:div w:id="1635256463">
              <w:marLeft w:val="0"/>
              <w:marRight w:val="0"/>
              <w:marTop w:val="0"/>
              <w:marBottom w:val="0"/>
              <w:divBdr>
                <w:top w:val="none" w:sz="0" w:space="0" w:color="auto"/>
                <w:left w:val="none" w:sz="0" w:space="0" w:color="auto"/>
                <w:bottom w:val="none" w:sz="0" w:space="0" w:color="auto"/>
                <w:right w:val="none" w:sz="0" w:space="0" w:color="auto"/>
              </w:divBdr>
              <w:divsChild>
                <w:div w:id="1782603038">
                  <w:marLeft w:val="0"/>
                  <w:marRight w:val="0"/>
                  <w:marTop w:val="0"/>
                  <w:marBottom w:val="0"/>
                  <w:divBdr>
                    <w:top w:val="none" w:sz="0" w:space="0" w:color="auto"/>
                    <w:left w:val="none" w:sz="0" w:space="0" w:color="auto"/>
                    <w:bottom w:val="none" w:sz="0" w:space="0" w:color="auto"/>
                    <w:right w:val="none" w:sz="0" w:space="0" w:color="auto"/>
                  </w:divBdr>
                  <w:divsChild>
                    <w:div w:id="2140297729">
                      <w:marLeft w:val="0"/>
                      <w:marRight w:val="0"/>
                      <w:marTop w:val="0"/>
                      <w:marBottom w:val="0"/>
                      <w:divBdr>
                        <w:top w:val="none" w:sz="0" w:space="0" w:color="auto"/>
                        <w:left w:val="none" w:sz="0" w:space="0" w:color="auto"/>
                        <w:bottom w:val="none" w:sz="0" w:space="0" w:color="auto"/>
                        <w:right w:val="none" w:sz="0" w:space="0" w:color="auto"/>
                      </w:divBdr>
                      <w:divsChild>
                        <w:div w:id="682589243">
                          <w:marLeft w:val="0"/>
                          <w:marRight w:val="0"/>
                          <w:marTop w:val="0"/>
                          <w:marBottom w:val="0"/>
                          <w:divBdr>
                            <w:top w:val="none" w:sz="0" w:space="0" w:color="auto"/>
                            <w:left w:val="none" w:sz="0" w:space="0" w:color="auto"/>
                            <w:bottom w:val="none" w:sz="0" w:space="0" w:color="auto"/>
                            <w:right w:val="none" w:sz="0" w:space="0" w:color="auto"/>
                          </w:divBdr>
                          <w:divsChild>
                            <w:div w:id="151995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9421627">
      <w:bodyDiv w:val="1"/>
      <w:marLeft w:val="0"/>
      <w:marRight w:val="0"/>
      <w:marTop w:val="0"/>
      <w:marBottom w:val="0"/>
      <w:divBdr>
        <w:top w:val="none" w:sz="0" w:space="0" w:color="auto"/>
        <w:left w:val="none" w:sz="0" w:space="0" w:color="auto"/>
        <w:bottom w:val="none" w:sz="0" w:space="0" w:color="auto"/>
        <w:right w:val="none" w:sz="0" w:space="0" w:color="auto"/>
      </w:divBdr>
    </w:div>
    <w:div w:id="1374502185">
      <w:bodyDiv w:val="1"/>
      <w:marLeft w:val="0"/>
      <w:marRight w:val="0"/>
      <w:marTop w:val="0"/>
      <w:marBottom w:val="0"/>
      <w:divBdr>
        <w:top w:val="none" w:sz="0" w:space="0" w:color="auto"/>
        <w:left w:val="none" w:sz="0" w:space="0" w:color="auto"/>
        <w:bottom w:val="none" w:sz="0" w:space="0" w:color="auto"/>
        <w:right w:val="none" w:sz="0" w:space="0" w:color="auto"/>
      </w:divBdr>
      <w:divsChild>
        <w:div w:id="1512529143">
          <w:marLeft w:val="0"/>
          <w:marRight w:val="0"/>
          <w:marTop w:val="0"/>
          <w:marBottom w:val="0"/>
          <w:divBdr>
            <w:top w:val="none" w:sz="0" w:space="0" w:color="auto"/>
            <w:left w:val="none" w:sz="0" w:space="0" w:color="auto"/>
            <w:bottom w:val="none" w:sz="0" w:space="0" w:color="auto"/>
            <w:right w:val="none" w:sz="0" w:space="0" w:color="auto"/>
          </w:divBdr>
        </w:div>
        <w:div w:id="100103565">
          <w:marLeft w:val="0"/>
          <w:marRight w:val="0"/>
          <w:marTop w:val="0"/>
          <w:marBottom w:val="0"/>
          <w:divBdr>
            <w:top w:val="none" w:sz="0" w:space="0" w:color="auto"/>
            <w:left w:val="none" w:sz="0" w:space="0" w:color="auto"/>
            <w:bottom w:val="none" w:sz="0" w:space="0" w:color="auto"/>
            <w:right w:val="none" w:sz="0" w:space="0" w:color="auto"/>
          </w:divBdr>
        </w:div>
        <w:div w:id="1111972138">
          <w:marLeft w:val="0"/>
          <w:marRight w:val="0"/>
          <w:marTop w:val="0"/>
          <w:marBottom w:val="0"/>
          <w:divBdr>
            <w:top w:val="none" w:sz="0" w:space="0" w:color="auto"/>
            <w:left w:val="none" w:sz="0" w:space="0" w:color="auto"/>
            <w:bottom w:val="none" w:sz="0" w:space="0" w:color="auto"/>
            <w:right w:val="none" w:sz="0" w:space="0" w:color="auto"/>
          </w:divBdr>
        </w:div>
        <w:div w:id="1338462839">
          <w:marLeft w:val="0"/>
          <w:marRight w:val="0"/>
          <w:marTop w:val="0"/>
          <w:marBottom w:val="0"/>
          <w:divBdr>
            <w:top w:val="none" w:sz="0" w:space="0" w:color="auto"/>
            <w:left w:val="none" w:sz="0" w:space="0" w:color="auto"/>
            <w:bottom w:val="none" w:sz="0" w:space="0" w:color="auto"/>
            <w:right w:val="none" w:sz="0" w:space="0" w:color="auto"/>
          </w:divBdr>
        </w:div>
        <w:div w:id="1149829926">
          <w:marLeft w:val="0"/>
          <w:marRight w:val="0"/>
          <w:marTop w:val="0"/>
          <w:marBottom w:val="0"/>
          <w:divBdr>
            <w:top w:val="none" w:sz="0" w:space="0" w:color="auto"/>
            <w:left w:val="none" w:sz="0" w:space="0" w:color="auto"/>
            <w:bottom w:val="none" w:sz="0" w:space="0" w:color="auto"/>
            <w:right w:val="none" w:sz="0" w:space="0" w:color="auto"/>
          </w:divBdr>
        </w:div>
        <w:div w:id="1518082386">
          <w:marLeft w:val="0"/>
          <w:marRight w:val="0"/>
          <w:marTop w:val="0"/>
          <w:marBottom w:val="0"/>
          <w:divBdr>
            <w:top w:val="none" w:sz="0" w:space="0" w:color="auto"/>
            <w:left w:val="none" w:sz="0" w:space="0" w:color="auto"/>
            <w:bottom w:val="none" w:sz="0" w:space="0" w:color="auto"/>
            <w:right w:val="none" w:sz="0" w:space="0" w:color="auto"/>
          </w:divBdr>
        </w:div>
        <w:div w:id="1668360689">
          <w:marLeft w:val="0"/>
          <w:marRight w:val="0"/>
          <w:marTop w:val="0"/>
          <w:marBottom w:val="0"/>
          <w:divBdr>
            <w:top w:val="none" w:sz="0" w:space="0" w:color="auto"/>
            <w:left w:val="none" w:sz="0" w:space="0" w:color="auto"/>
            <w:bottom w:val="none" w:sz="0" w:space="0" w:color="auto"/>
            <w:right w:val="none" w:sz="0" w:space="0" w:color="auto"/>
          </w:divBdr>
        </w:div>
        <w:div w:id="260186098">
          <w:marLeft w:val="0"/>
          <w:marRight w:val="0"/>
          <w:marTop w:val="0"/>
          <w:marBottom w:val="0"/>
          <w:divBdr>
            <w:top w:val="none" w:sz="0" w:space="0" w:color="auto"/>
            <w:left w:val="none" w:sz="0" w:space="0" w:color="auto"/>
            <w:bottom w:val="none" w:sz="0" w:space="0" w:color="auto"/>
            <w:right w:val="none" w:sz="0" w:space="0" w:color="auto"/>
          </w:divBdr>
        </w:div>
        <w:div w:id="2013412915">
          <w:marLeft w:val="0"/>
          <w:marRight w:val="0"/>
          <w:marTop w:val="0"/>
          <w:marBottom w:val="0"/>
          <w:divBdr>
            <w:top w:val="none" w:sz="0" w:space="0" w:color="auto"/>
            <w:left w:val="none" w:sz="0" w:space="0" w:color="auto"/>
            <w:bottom w:val="none" w:sz="0" w:space="0" w:color="auto"/>
            <w:right w:val="none" w:sz="0" w:space="0" w:color="auto"/>
          </w:divBdr>
          <w:divsChild>
            <w:div w:id="1850287260">
              <w:marLeft w:val="0"/>
              <w:marRight w:val="0"/>
              <w:marTop w:val="0"/>
              <w:marBottom w:val="0"/>
              <w:divBdr>
                <w:top w:val="none" w:sz="0" w:space="0" w:color="auto"/>
                <w:left w:val="none" w:sz="0" w:space="0" w:color="auto"/>
                <w:bottom w:val="none" w:sz="0" w:space="0" w:color="auto"/>
                <w:right w:val="none" w:sz="0" w:space="0" w:color="auto"/>
              </w:divBdr>
              <w:divsChild>
                <w:div w:id="1856308270">
                  <w:marLeft w:val="0"/>
                  <w:marRight w:val="0"/>
                  <w:marTop w:val="0"/>
                  <w:marBottom w:val="0"/>
                  <w:divBdr>
                    <w:top w:val="none" w:sz="0" w:space="0" w:color="auto"/>
                    <w:left w:val="none" w:sz="0" w:space="0" w:color="auto"/>
                    <w:bottom w:val="none" w:sz="0" w:space="0" w:color="auto"/>
                    <w:right w:val="none" w:sz="0" w:space="0" w:color="auto"/>
                  </w:divBdr>
                  <w:divsChild>
                    <w:div w:id="5908569">
                      <w:marLeft w:val="0"/>
                      <w:marRight w:val="0"/>
                      <w:marTop w:val="0"/>
                      <w:marBottom w:val="0"/>
                      <w:divBdr>
                        <w:top w:val="none" w:sz="0" w:space="0" w:color="auto"/>
                        <w:left w:val="none" w:sz="0" w:space="0" w:color="auto"/>
                        <w:bottom w:val="none" w:sz="0" w:space="0" w:color="auto"/>
                        <w:right w:val="none" w:sz="0" w:space="0" w:color="auto"/>
                      </w:divBdr>
                      <w:divsChild>
                        <w:div w:id="398747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5570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8D00FE1C956BA45BF0DCD7E4E5F6184" ma:contentTypeVersion="0" ma:contentTypeDescription="Create a new document." ma:contentTypeScope="" ma:versionID="e28042f44dbb528eb8800456998bbc24">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362BCB-F48B-41C0-B6E9-3A9E794E40A8}">
  <ds:schemaRefs>
    <ds:schemaRef ds:uri="http://schemas.microsoft.com/sharepoint/v3/contenttype/forms"/>
  </ds:schemaRefs>
</ds:datastoreItem>
</file>

<file path=customXml/itemProps2.xml><?xml version="1.0" encoding="utf-8"?>
<ds:datastoreItem xmlns:ds="http://schemas.openxmlformats.org/officeDocument/2006/customXml" ds:itemID="{8879B0C8-EDC1-44BB-8A7C-47D25D4F4418}">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808C2DF6-40D1-4423-8226-7E163B4C54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1540C41-8D22-4914-894E-4FE11F802D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A50B565C</Template>
  <TotalTime>10</TotalTime>
  <Pages>19</Pages>
  <Words>6989</Words>
  <Characters>42639</Characters>
  <Application>Microsoft Office Word</Application>
  <DocSecurity>0</DocSecurity>
  <Lines>355</Lines>
  <Paragraphs>99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Algemene Aanwijzingen</vt:lpstr>
      <vt:lpstr>Algemene Aanwijzingen</vt:lpstr>
    </vt:vector>
  </TitlesOfParts>
  <Company>Ministerie van Buitenlandse Zaken</Company>
  <LinksUpToDate>false</LinksUpToDate>
  <CharactersWithSpaces>49529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Algemene Aanwijzingen</dc:title>
  <dc:subject/>
  <dc:creator>Han Huiskamp</dc:creator>
  <cp:keywords/>
  <dc:description/>
  <cp:lastModifiedBy>Hengelaar, Dieke</cp:lastModifiedBy>
  <cp:revision>10</cp:revision>
  <cp:lastPrinted>2017-02-03T12:54:00Z</cp:lastPrinted>
  <dcterms:created xsi:type="dcterms:W3CDTF">2017-08-21T12:49:00Z</dcterms:created>
  <dcterms:modified xsi:type="dcterms:W3CDTF">2017-08-25T09:40:00Z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_DATE">
    <vt:lpwstr>Datum</vt:lpwstr>
  </property>
  <property fmtid="{D5CDD505-2E9C-101B-9397-08002B2CF9AE}" pid="3" name="L_PLACE">
    <vt:lpwstr>Plaats</vt:lpwstr>
  </property>
  <property fmtid="{D5CDD505-2E9C-101B-9397-08002B2CF9AE}" pid="4" name="SIG_DIR">
    <vt:lpwstr>Directie Verenigde Naties en Internationale Financiële Instellingen</vt:lpwstr>
  </property>
  <property fmtid="{D5CDD505-2E9C-101B-9397-08002B2CF9AE}" pid="5" name="SIG_DEP">
    <vt:lpwstr>Sociaal Economische VN Zaken</vt:lpwstr>
  </property>
  <property fmtid="{D5CDD505-2E9C-101B-9397-08002B2CF9AE}" pid="6" name="SIG_PHONE">
    <vt:lpwstr>+31 (0)70- 3484194</vt:lpwstr>
  </property>
  <property fmtid="{D5CDD505-2E9C-101B-9397-08002B2CF9AE}" pid="7" name="L_AUTHOR">
    <vt:lpwstr>Redacteur(en):</vt:lpwstr>
  </property>
  <property fmtid="{D5CDD505-2E9C-101B-9397-08002B2CF9AE}" pid="8" name="L_CONTACT">
    <vt:lpwstr>Opgesteld door</vt:lpwstr>
  </property>
  <property fmtid="{D5CDD505-2E9C-101B-9397-08002B2CF9AE}" pid="9" name="L_TOC">
    <vt:lpwstr>Inhoudsopgave</vt:lpwstr>
  </property>
  <property fmtid="{D5CDD505-2E9C-101B-9397-08002B2CF9AE}" pid="10" name="L_PAGE">
    <vt:lpwstr>Pagina</vt:lpwstr>
  </property>
  <property fmtid="{D5CDD505-2E9C-101B-9397-08002B2CF9AE}" pid="11" name="L_PAGEOF">
    <vt:lpwstr>van</vt:lpwstr>
  </property>
  <property fmtid="{D5CDD505-2E9C-101B-9397-08002B2CF9AE}" pid="12" name="L_ENCLOSURES">
    <vt:lpwstr>Bijlage(n)</vt:lpwstr>
  </property>
  <property fmtid="{D5CDD505-2E9C-101B-9397-08002B2CF9AE}" pid="13" name="L_CITY">
    <vt:lpwstr>Plaats</vt:lpwstr>
  </property>
  <property fmtid="{D5CDD505-2E9C-101B-9397-08002B2CF9AE}" pid="14" name="BZ_Language">
    <vt:lpwstr>Dutch</vt:lpwstr>
  </property>
  <property fmtid="{D5CDD505-2E9C-101B-9397-08002B2CF9AE}" pid="15" name="SIG_NAME">
    <vt:lpwstr>Han Huiskamp</vt:lpwstr>
  </property>
  <property fmtid="{D5CDD505-2E9C-101B-9397-08002B2CF9AE}" pid="16" name="SIG_FUNCTION">
    <vt:lpwstr>Beleidsmedewerker</vt:lpwstr>
  </property>
  <property fmtid="{D5CDD505-2E9C-101B-9397-08002B2CF9AE}" pid="17" name="SIG_SENDER">
    <vt:lpwstr>Han Huiskamp</vt:lpwstr>
  </property>
  <property fmtid="{D5CDD505-2E9C-101B-9397-08002B2CF9AE}" pid="18" name="SIG_CdP">
    <vt:lpwstr>unknown CdP</vt:lpwstr>
  </property>
  <property fmtid="{D5CDD505-2E9C-101B-9397-08002B2CF9AE}" pid="19" name="ContentTypeId">
    <vt:lpwstr>0x01010088D00FE1C956BA45BF0DCD7E4E5F6184</vt:lpwstr>
  </property>
</Properties>
</file>